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7B6" w:rsidRDefault="004E27B6" w:rsidP="004E27B6">
      <w:pPr>
        <w:pStyle w:val="xmsonormal"/>
      </w:pPr>
      <w:r>
        <w:rPr>
          <w:rFonts w:ascii="Calibri Light" w:hAnsi="Calibri Light" w:cs="Calibri Light"/>
          <w:color w:val="000000"/>
          <w:sz w:val="40"/>
          <w:szCs w:val="40"/>
        </w:rPr>
        <w:t>LOG Procedure</w:t>
      </w:r>
    </w:p>
    <w:p w:rsidR="004E27B6" w:rsidRDefault="004E27B6" w:rsidP="004E27B6">
      <w:pPr>
        <w:pStyle w:val="xmsonormal"/>
        <w:ind w:left="540"/>
      </w:pPr>
      <w:r>
        <w:rPr>
          <w:rFonts w:ascii="Calibri" w:hAnsi="Calibri" w:cs="Calibri"/>
          <w:color w:val="000000"/>
        </w:rPr>
        <w:t>Basic requirements to establish a LOG account:</w:t>
      </w:r>
    </w:p>
    <w:p w:rsidR="004E27B6" w:rsidRDefault="004E27B6" w:rsidP="004E27B6">
      <w:pPr>
        <w:pStyle w:val="xmsonormal"/>
        <w:ind w:left="540"/>
      </w:pPr>
      <w:r>
        <w:rPr>
          <w:rFonts w:ascii="Calibri" w:hAnsi="Calibri" w:cs="Calibri"/>
          <w:color w:val="000000"/>
          <w:sz w:val="22"/>
          <w:szCs w:val="22"/>
        </w:rPr>
        <w:t> </w:t>
      </w:r>
    </w:p>
    <w:p w:rsidR="004E27B6" w:rsidRDefault="004E27B6" w:rsidP="004E27B6">
      <w:pPr>
        <w:pStyle w:val="xmsonormal"/>
        <w:ind w:left="540" w:hanging="360"/>
        <w:textAlignment w:val="center"/>
      </w:pPr>
      <w:r>
        <w:rPr>
          <w:rFonts w:ascii="Calibri" w:hAnsi="Calibri" w:cs="Calibri"/>
          <w:color w:val="000000"/>
          <w:sz w:val="22"/>
          <w:szCs w:val="22"/>
        </w:rPr>
        <w:t>1.</w:t>
      </w:r>
      <w:r>
        <w:rPr>
          <w:color w:val="000000"/>
          <w:sz w:val="14"/>
          <w:szCs w:val="14"/>
        </w:rPr>
        <w:t xml:space="preserve">       </w:t>
      </w:r>
      <w:r>
        <w:rPr>
          <w:rFonts w:ascii="Calibri" w:hAnsi="Calibri" w:cs="Calibri"/>
          <w:b/>
          <w:bCs/>
          <w:color w:val="000000"/>
          <w:sz w:val="22"/>
          <w:szCs w:val="22"/>
        </w:rPr>
        <w:t>HARD STOPS</w:t>
      </w:r>
      <w:r>
        <w:rPr>
          <w:rFonts w:ascii="Calibri" w:hAnsi="Calibri" w:cs="Calibri"/>
          <w:color w:val="000000"/>
          <w:sz w:val="22"/>
          <w:szCs w:val="22"/>
        </w:rPr>
        <w:t xml:space="preserve"> -- No LOG request </w:t>
      </w:r>
      <w:proofErr w:type="gramStart"/>
      <w:r>
        <w:rPr>
          <w:rFonts w:ascii="Calibri" w:hAnsi="Calibri" w:cs="Calibri"/>
          <w:color w:val="000000"/>
          <w:sz w:val="22"/>
          <w:szCs w:val="22"/>
        </w:rPr>
        <w:t>will be processed</w:t>
      </w:r>
      <w:proofErr w:type="gramEnd"/>
      <w:r>
        <w:rPr>
          <w:rFonts w:ascii="Calibri" w:hAnsi="Calibri" w:cs="Calibri"/>
          <w:color w:val="000000"/>
          <w:sz w:val="22"/>
          <w:szCs w:val="22"/>
        </w:rPr>
        <w:t xml:space="preserve"> under the following conditions:</w:t>
      </w:r>
    </w:p>
    <w:p w:rsidR="004E27B6" w:rsidRDefault="004E27B6" w:rsidP="004E27B6">
      <w:pPr>
        <w:pStyle w:val="xmsonormal"/>
        <w:spacing w:after="40"/>
        <w:ind w:left="1080" w:hanging="360"/>
        <w:textAlignment w:val="center"/>
      </w:pPr>
      <w:r>
        <w:rPr>
          <w:rFonts w:ascii="Calibri" w:hAnsi="Calibri" w:cs="Calibri"/>
          <w:color w:val="000000"/>
          <w:sz w:val="22"/>
          <w:szCs w:val="22"/>
        </w:rPr>
        <w:t>1.</w:t>
      </w:r>
      <w:r>
        <w:rPr>
          <w:color w:val="000000"/>
          <w:sz w:val="14"/>
          <w:szCs w:val="14"/>
        </w:rPr>
        <w:t xml:space="preserve">       </w:t>
      </w:r>
      <w:r>
        <w:rPr>
          <w:rFonts w:ascii="Calibri" w:hAnsi="Calibri" w:cs="Calibri"/>
          <w:color w:val="000000"/>
          <w:sz w:val="22"/>
          <w:szCs w:val="22"/>
        </w:rPr>
        <w:t xml:space="preserve">If </w:t>
      </w:r>
      <w:r>
        <w:rPr>
          <w:rFonts w:ascii="Calibri" w:hAnsi="Calibri" w:cs="Calibri"/>
          <w:b/>
          <w:bCs/>
          <w:color w:val="000000"/>
          <w:sz w:val="22"/>
          <w:szCs w:val="22"/>
        </w:rPr>
        <w:t>Financial Conflict of Interest (FCOI)</w:t>
      </w:r>
      <w:r>
        <w:rPr>
          <w:rFonts w:ascii="Calibri" w:hAnsi="Calibri" w:cs="Calibri"/>
          <w:color w:val="000000"/>
          <w:sz w:val="22"/>
          <w:szCs w:val="22"/>
        </w:rPr>
        <w:t xml:space="preserve"> has not </w:t>
      </w:r>
      <w:proofErr w:type="gramStart"/>
      <w:r>
        <w:rPr>
          <w:rFonts w:ascii="Calibri" w:hAnsi="Calibri" w:cs="Calibri"/>
          <w:color w:val="000000"/>
          <w:sz w:val="22"/>
          <w:szCs w:val="22"/>
        </w:rPr>
        <w:t>been approved</w:t>
      </w:r>
      <w:proofErr w:type="gramEnd"/>
      <w:r>
        <w:rPr>
          <w:rFonts w:ascii="Calibri" w:hAnsi="Calibri" w:cs="Calibri"/>
          <w:color w:val="000000"/>
          <w:sz w:val="22"/>
          <w:szCs w:val="22"/>
        </w:rPr>
        <w:t>;</w:t>
      </w:r>
    </w:p>
    <w:p w:rsidR="004E27B6" w:rsidRDefault="004E27B6" w:rsidP="004E27B6">
      <w:pPr>
        <w:pStyle w:val="xmsonormal"/>
        <w:spacing w:after="40"/>
        <w:ind w:left="1080" w:hanging="360"/>
        <w:textAlignment w:val="center"/>
      </w:pPr>
      <w:r>
        <w:rPr>
          <w:rFonts w:ascii="Calibri" w:hAnsi="Calibri" w:cs="Calibri"/>
          <w:color w:val="000000"/>
          <w:sz w:val="22"/>
          <w:szCs w:val="22"/>
        </w:rPr>
        <w:t>2.</w:t>
      </w:r>
      <w:r>
        <w:rPr>
          <w:color w:val="000000"/>
          <w:sz w:val="14"/>
          <w:szCs w:val="14"/>
        </w:rPr>
        <w:t xml:space="preserve">       </w:t>
      </w:r>
      <w:r>
        <w:rPr>
          <w:rFonts w:ascii="Calibri" w:hAnsi="Calibri" w:cs="Calibri"/>
          <w:color w:val="000000"/>
          <w:sz w:val="22"/>
          <w:szCs w:val="22"/>
        </w:rPr>
        <w:t>If</w:t>
      </w:r>
      <w:r>
        <w:rPr>
          <w:rFonts w:ascii="Calibri" w:hAnsi="Calibri" w:cs="Calibri"/>
          <w:b/>
          <w:bCs/>
          <w:color w:val="000000"/>
          <w:sz w:val="22"/>
          <w:szCs w:val="22"/>
        </w:rPr>
        <w:t xml:space="preserve"> Human Subjects Research </w:t>
      </w:r>
      <w:r>
        <w:rPr>
          <w:rFonts w:ascii="Calibri" w:hAnsi="Calibri" w:cs="Calibri"/>
          <w:color w:val="000000"/>
          <w:sz w:val="22"/>
          <w:szCs w:val="22"/>
        </w:rPr>
        <w:t>and IRB approval is pending</w:t>
      </w:r>
      <w:r>
        <w:rPr>
          <w:rFonts w:ascii="Calibri" w:hAnsi="Calibri" w:cs="Calibri"/>
          <w:b/>
          <w:bCs/>
          <w:color w:val="000000"/>
          <w:sz w:val="22"/>
          <w:szCs w:val="22"/>
        </w:rPr>
        <w:t xml:space="preserve">; </w:t>
      </w:r>
      <w:r>
        <w:rPr>
          <w:rFonts w:ascii="Calibri" w:hAnsi="Calibri" w:cs="Calibri"/>
          <w:color w:val="000000"/>
          <w:sz w:val="22"/>
          <w:szCs w:val="22"/>
        </w:rPr>
        <w:t xml:space="preserve">however, if PI submits email to SRS indicating no human subjects work will begin until IRB </w:t>
      </w:r>
      <w:proofErr w:type="gramStart"/>
      <w:r>
        <w:rPr>
          <w:rFonts w:ascii="Calibri" w:hAnsi="Calibri" w:cs="Calibri"/>
          <w:color w:val="000000"/>
          <w:sz w:val="22"/>
          <w:szCs w:val="22"/>
        </w:rPr>
        <w:t>is approved</w:t>
      </w:r>
      <w:proofErr w:type="gramEnd"/>
      <w:r>
        <w:rPr>
          <w:rFonts w:ascii="Calibri" w:hAnsi="Calibri" w:cs="Calibri"/>
          <w:color w:val="000000"/>
          <w:sz w:val="22"/>
          <w:szCs w:val="22"/>
        </w:rPr>
        <w:t>, LOG can be processed for non-human subject, start-up work.</w:t>
      </w:r>
    </w:p>
    <w:p w:rsidR="004E27B6" w:rsidRDefault="004E27B6" w:rsidP="004E27B6">
      <w:pPr>
        <w:pStyle w:val="xmsonormal"/>
        <w:spacing w:after="40"/>
        <w:ind w:left="1080" w:hanging="360"/>
        <w:textAlignment w:val="center"/>
      </w:pPr>
      <w:r>
        <w:rPr>
          <w:rFonts w:ascii="Calibri" w:hAnsi="Calibri" w:cs="Calibri"/>
          <w:color w:val="000000"/>
          <w:sz w:val="22"/>
          <w:szCs w:val="22"/>
        </w:rPr>
        <w:t>3.</w:t>
      </w:r>
      <w:r>
        <w:rPr>
          <w:color w:val="000000"/>
          <w:sz w:val="14"/>
          <w:szCs w:val="14"/>
        </w:rPr>
        <w:t xml:space="preserve">       </w:t>
      </w:r>
      <w:r>
        <w:rPr>
          <w:rFonts w:ascii="Calibri" w:hAnsi="Calibri" w:cs="Calibri"/>
          <w:color w:val="000000"/>
          <w:sz w:val="22"/>
          <w:szCs w:val="22"/>
        </w:rPr>
        <w:t xml:space="preserve">If project is </w:t>
      </w:r>
      <w:r>
        <w:rPr>
          <w:rFonts w:ascii="Calibri" w:hAnsi="Calibri" w:cs="Calibri"/>
          <w:b/>
          <w:bCs/>
          <w:color w:val="000000"/>
          <w:sz w:val="22"/>
          <w:szCs w:val="22"/>
        </w:rPr>
        <w:t>Export Controlled</w:t>
      </w:r>
      <w:r>
        <w:rPr>
          <w:rFonts w:ascii="Calibri" w:hAnsi="Calibri" w:cs="Calibri"/>
          <w:color w:val="000000"/>
          <w:sz w:val="22"/>
          <w:szCs w:val="22"/>
        </w:rPr>
        <w:t xml:space="preserve"> and no </w:t>
      </w:r>
      <w:r>
        <w:rPr>
          <w:rFonts w:ascii="Calibri" w:hAnsi="Calibri" w:cs="Calibri"/>
          <w:color w:val="000000"/>
          <w:sz w:val="22"/>
          <w:szCs w:val="22"/>
          <w:u w:val="single"/>
        </w:rPr>
        <w:t>Petition for the Conduct of Sensitive but Unclassified Research</w:t>
      </w:r>
      <w:r>
        <w:rPr>
          <w:rFonts w:ascii="Calibri" w:hAnsi="Calibri" w:cs="Calibri"/>
          <w:color w:val="000000"/>
          <w:sz w:val="22"/>
          <w:szCs w:val="22"/>
        </w:rPr>
        <w:t xml:space="preserve"> has </w:t>
      </w:r>
      <w:proofErr w:type="gramStart"/>
      <w:r>
        <w:rPr>
          <w:rFonts w:ascii="Calibri" w:hAnsi="Calibri" w:cs="Calibri"/>
          <w:color w:val="000000"/>
          <w:sz w:val="22"/>
          <w:szCs w:val="22"/>
        </w:rPr>
        <w:t>been approved</w:t>
      </w:r>
      <w:proofErr w:type="gramEnd"/>
      <w:r>
        <w:rPr>
          <w:rFonts w:ascii="Calibri" w:hAnsi="Calibri" w:cs="Calibri"/>
          <w:color w:val="000000"/>
          <w:sz w:val="22"/>
          <w:szCs w:val="22"/>
        </w:rPr>
        <w:t xml:space="preserve"> by the VPR for that project.</w:t>
      </w:r>
    </w:p>
    <w:p w:rsidR="004E27B6" w:rsidRDefault="004E27B6" w:rsidP="004E27B6">
      <w:pPr>
        <w:pStyle w:val="xmsonormal"/>
        <w:ind w:left="1620"/>
      </w:pPr>
      <w:r>
        <w:rPr>
          <w:rFonts w:ascii="Calibri" w:hAnsi="Calibri" w:cs="Calibri"/>
          <w:color w:val="000000"/>
          <w:sz w:val="22"/>
          <w:szCs w:val="22"/>
        </w:rPr>
        <w:t> </w:t>
      </w:r>
    </w:p>
    <w:p w:rsidR="004E27B6" w:rsidRDefault="004E27B6" w:rsidP="004E27B6">
      <w:pPr>
        <w:pStyle w:val="xmsonormal"/>
        <w:ind w:left="540" w:hanging="360"/>
        <w:textAlignment w:val="center"/>
      </w:pPr>
      <w:r>
        <w:rPr>
          <w:rFonts w:ascii="Calibri" w:hAnsi="Calibri" w:cs="Calibri"/>
          <w:color w:val="000000"/>
          <w:sz w:val="22"/>
          <w:szCs w:val="22"/>
        </w:rPr>
        <w:t>2.</w:t>
      </w:r>
      <w:r>
        <w:rPr>
          <w:color w:val="000000"/>
          <w:sz w:val="14"/>
          <w:szCs w:val="14"/>
        </w:rPr>
        <w:t xml:space="preserve">       </w:t>
      </w:r>
      <w:r>
        <w:rPr>
          <w:rFonts w:ascii="Calibri" w:hAnsi="Calibri" w:cs="Calibri"/>
          <w:color w:val="000000"/>
          <w:sz w:val="22"/>
          <w:szCs w:val="22"/>
        </w:rPr>
        <w:t xml:space="preserve">Notification </w:t>
      </w:r>
      <w:r>
        <w:rPr>
          <w:rFonts w:ascii="Calibri" w:hAnsi="Calibri" w:cs="Calibri"/>
          <w:color w:val="000000"/>
          <w:sz w:val="22"/>
          <w:szCs w:val="22"/>
          <w:u w:val="single"/>
        </w:rPr>
        <w:t>in writing</w:t>
      </w:r>
      <w:r>
        <w:rPr>
          <w:rFonts w:ascii="Calibri" w:hAnsi="Calibri" w:cs="Calibri"/>
          <w:color w:val="000000"/>
          <w:sz w:val="22"/>
          <w:szCs w:val="22"/>
        </w:rPr>
        <w:t xml:space="preserve"> (email is ok) from our sponsor (or prime) to indicate anticipated funding to be received, and estimated start date and/or period of performance.</w:t>
      </w:r>
    </w:p>
    <w:p w:rsidR="004E27B6" w:rsidRDefault="004E27B6" w:rsidP="004E27B6">
      <w:pPr>
        <w:pStyle w:val="xmsonormal"/>
        <w:ind w:left="1080"/>
      </w:pPr>
      <w:r>
        <w:rPr>
          <w:rFonts w:ascii="Calibri" w:hAnsi="Calibri" w:cs="Calibri"/>
          <w:color w:val="000000"/>
          <w:sz w:val="22"/>
          <w:szCs w:val="22"/>
        </w:rPr>
        <w:t> </w:t>
      </w:r>
    </w:p>
    <w:p w:rsidR="004E27B6" w:rsidRDefault="004E27B6" w:rsidP="004E27B6">
      <w:pPr>
        <w:pStyle w:val="xmsonormal"/>
        <w:ind w:left="540" w:hanging="360"/>
        <w:textAlignment w:val="center"/>
      </w:pPr>
      <w:r>
        <w:rPr>
          <w:rFonts w:ascii="Calibri" w:hAnsi="Calibri" w:cs="Calibri"/>
          <w:color w:val="000000"/>
          <w:sz w:val="22"/>
          <w:szCs w:val="22"/>
        </w:rPr>
        <w:t>3.</w:t>
      </w:r>
      <w:r>
        <w:rPr>
          <w:color w:val="000000"/>
          <w:sz w:val="14"/>
          <w:szCs w:val="14"/>
        </w:rPr>
        <w:t xml:space="preserve">       </w:t>
      </w:r>
      <w:r>
        <w:rPr>
          <w:rFonts w:ascii="Calibri" w:hAnsi="Calibri" w:cs="Calibri"/>
          <w:color w:val="000000"/>
          <w:sz w:val="22"/>
          <w:szCs w:val="22"/>
        </w:rPr>
        <w:t>Completed Coeus proposal needed in order to create an award in Coeus.</w:t>
      </w:r>
    </w:p>
    <w:p w:rsidR="004E27B6" w:rsidRDefault="004E27B6" w:rsidP="004E27B6">
      <w:pPr>
        <w:pStyle w:val="xmsonormal"/>
        <w:ind w:left="540"/>
      </w:pPr>
      <w:r>
        <w:rPr>
          <w:rFonts w:ascii="Calibri" w:hAnsi="Calibri" w:cs="Calibri"/>
          <w:color w:val="000000"/>
          <w:sz w:val="22"/>
          <w:szCs w:val="22"/>
        </w:rPr>
        <w:t> </w:t>
      </w:r>
    </w:p>
    <w:p w:rsidR="004E27B6" w:rsidRDefault="004E27B6" w:rsidP="004E27B6">
      <w:pPr>
        <w:pStyle w:val="xmsonormal"/>
        <w:ind w:left="540" w:hanging="360"/>
        <w:textAlignment w:val="center"/>
      </w:pPr>
      <w:r>
        <w:rPr>
          <w:rFonts w:ascii="Calibri" w:hAnsi="Calibri" w:cs="Calibri"/>
          <w:color w:val="000000"/>
          <w:sz w:val="22"/>
          <w:szCs w:val="22"/>
        </w:rPr>
        <w:t>4.</w:t>
      </w:r>
      <w:r>
        <w:rPr>
          <w:color w:val="000000"/>
          <w:sz w:val="14"/>
          <w:szCs w:val="14"/>
        </w:rPr>
        <w:t xml:space="preserve">       </w:t>
      </w:r>
      <w:r>
        <w:rPr>
          <w:rFonts w:ascii="Calibri" w:hAnsi="Calibri" w:cs="Calibri"/>
          <w:color w:val="000000"/>
          <w:sz w:val="22"/>
          <w:szCs w:val="22"/>
        </w:rPr>
        <w:t>Internal Forms Required for Review:</w:t>
      </w:r>
    </w:p>
    <w:p w:rsidR="004E27B6" w:rsidRDefault="004E27B6" w:rsidP="004E27B6">
      <w:pPr>
        <w:pStyle w:val="xmsonormal"/>
        <w:ind w:left="1080" w:hanging="360"/>
        <w:textAlignment w:val="center"/>
      </w:pPr>
      <w:r>
        <w:rPr>
          <w:rFonts w:ascii="Calibri" w:hAnsi="Calibri" w:cs="Calibri"/>
          <w:color w:val="000000"/>
          <w:sz w:val="22"/>
          <w:szCs w:val="22"/>
        </w:rPr>
        <w:t>1.</w:t>
      </w:r>
      <w:r>
        <w:rPr>
          <w:color w:val="000000"/>
          <w:sz w:val="14"/>
          <w:szCs w:val="14"/>
        </w:rPr>
        <w:t xml:space="preserve">       </w:t>
      </w:r>
      <w:r>
        <w:rPr>
          <w:rFonts w:ascii="Calibri" w:hAnsi="Calibri" w:cs="Calibri"/>
          <w:color w:val="000000"/>
          <w:sz w:val="22"/>
          <w:szCs w:val="22"/>
        </w:rPr>
        <w:t xml:space="preserve">If a </w:t>
      </w:r>
      <w:r>
        <w:rPr>
          <w:rFonts w:ascii="Calibri" w:hAnsi="Calibri" w:cs="Calibri"/>
          <w:b/>
          <w:bCs/>
          <w:color w:val="000000"/>
          <w:sz w:val="22"/>
          <w:szCs w:val="22"/>
        </w:rPr>
        <w:t>NEW Award</w:t>
      </w:r>
      <w:r>
        <w:rPr>
          <w:rFonts w:ascii="Calibri" w:hAnsi="Calibri" w:cs="Calibri"/>
          <w:color w:val="000000"/>
          <w:sz w:val="22"/>
          <w:szCs w:val="22"/>
        </w:rPr>
        <w:t xml:space="preserve"> – Proposal Review Sheet, Award Acceptance Request / Compliance Review Form</w:t>
      </w:r>
      <w:proofErr w:type="gramStart"/>
      <w:r>
        <w:rPr>
          <w:rFonts w:ascii="Calibri" w:hAnsi="Calibri" w:cs="Calibri"/>
          <w:color w:val="000000"/>
          <w:sz w:val="22"/>
          <w:szCs w:val="22"/>
        </w:rPr>
        <w:t>;</w:t>
      </w:r>
      <w:proofErr w:type="gramEnd"/>
    </w:p>
    <w:p w:rsidR="004E27B6" w:rsidRDefault="004E27B6" w:rsidP="004E27B6">
      <w:pPr>
        <w:pStyle w:val="xmsonormal"/>
        <w:ind w:left="1080" w:hanging="360"/>
        <w:textAlignment w:val="center"/>
      </w:pPr>
      <w:r>
        <w:rPr>
          <w:rFonts w:ascii="Calibri" w:hAnsi="Calibri" w:cs="Calibri"/>
          <w:color w:val="000000"/>
          <w:sz w:val="22"/>
          <w:szCs w:val="22"/>
        </w:rPr>
        <w:t>2.</w:t>
      </w:r>
      <w:r>
        <w:rPr>
          <w:color w:val="000000"/>
          <w:sz w:val="14"/>
          <w:szCs w:val="14"/>
        </w:rPr>
        <w:t xml:space="preserve">       </w:t>
      </w:r>
      <w:r>
        <w:rPr>
          <w:rFonts w:ascii="Calibri" w:hAnsi="Calibri" w:cs="Calibri"/>
          <w:color w:val="000000"/>
          <w:sz w:val="22"/>
          <w:szCs w:val="22"/>
        </w:rPr>
        <w:t xml:space="preserve">If an </w:t>
      </w:r>
      <w:r>
        <w:rPr>
          <w:rFonts w:ascii="Calibri" w:hAnsi="Calibri" w:cs="Calibri"/>
          <w:b/>
          <w:bCs/>
          <w:color w:val="000000"/>
          <w:sz w:val="22"/>
          <w:szCs w:val="22"/>
        </w:rPr>
        <w:t>Amendment (funding already covered by prior proposal)</w:t>
      </w:r>
      <w:r>
        <w:rPr>
          <w:rFonts w:ascii="Calibri" w:hAnsi="Calibri" w:cs="Calibri"/>
          <w:color w:val="000000"/>
          <w:sz w:val="22"/>
          <w:szCs w:val="22"/>
        </w:rPr>
        <w:t xml:space="preserve"> – CRF;</w:t>
      </w:r>
    </w:p>
    <w:p w:rsidR="004E27B6" w:rsidRDefault="004E27B6" w:rsidP="004E27B6">
      <w:pPr>
        <w:pStyle w:val="xmsonormal"/>
        <w:ind w:left="1080" w:hanging="360"/>
        <w:textAlignment w:val="center"/>
      </w:pPr>
      <w:proofErr w:type="gramStart"/>
      <w:r>
        <w:rPr>
          <w:rFonts w:ascii="Calibri" w:hAnsi="Calibri" w:cs="Calibri"/>
          <w:color w:val="000000"/>
          <w:sz w:val="22"/>
          <w:szCs w:val="22"/>
        </w:rPr>
        <w:t>3.</w:t>
      </w:r>
      <w:r>
        <w:rPr>
          <w:color w:val="000000"/>
          <w:sz w:val="14"/>
          <w:szCs w:val="14"/>
        </w:rPr>
        <w:t xml:space="preserve">       </w:t>
      </w:r>
      <w:r>
        <w:rPr>
          <w:rFonts w:ascii="Calibri" w:hAnsi="Calibri" w:cs="Calibri"/>
          <w:color w:val="000000"/>
          <w:sz w:val="22"/>
          <w:szCs w:val="22"/>
        </w:rPr>
        <w:t xml:space="preserve">If an </w:t>
      </w:r>
      <w:r>
        <w:rPr>
          <w:rFonts w:ascii="Calibri" w:hAnsi="Calibri" w:cs="Calibri"/>
          <w:b/>
          <w:bCs/>
          <w:color w:val="000000"/>
          <w:sz w:val="22"/>
          <w:szCs w:val="22"/>
        </w:rPr>
        <w:t>Amendment</w:t>
      </w:r>
      <w:proofErr w:type="gramEnd"/>
      <w:r>
        <w:rPr>
          <w:rFonts w:ascii="Calibri" w:hAnsi="Calibri" w:cs="Calibri"/>
          <w:b/>
          <w:bCs/>
          <w:color w:val="000000"/>
          <w:sz w:val="22"/>
          <w:szCs w:val="22"/>
        </w:rPr>
        <w:t xml:space="preserve"> (</w:t>
      </w:r>
      <w:proofErr w:type="spellStart"/>
      <w:r>
        <w:rPr>
          <w:rFonts w:ascii="Calibri" w:hAnsi="Calibri" w:cs="Calibri"/>
          <w:b/>
          <w:bCs/>
          <w:color w:val="000000"/>
          <w:sz w:val="22"/>
          <w:szCs w:val="22"/>
        </w:rPr>
        <w:t>add'l</w:t>
      </w:r>
      <w:proofErr w:type="spellEnd"/>
      <w:r>
        <w:rPr>
          <w:rFonts w:ascii="Calibri" w:hAnsi="Calibri" w:cs="Calibri"/>
          <w:b/>
          <w:bCs/>
          <w:color w:val="000000"/>
          <w:sz w:val="22"/>
          <w:szCs w:val="22"/>
        </w:rPr>
        <w:t xml:space="preserve"> funding not covered by prior proposal)</w:t>
      </w:r>
      <w:r>
        <w:rPr>
          <w:rFonts w:ascii="Calibri" w:hAnsi="Calibri" w:cs="Calibri"/>
          <w:color w:val="000000"/>
          <w:sz w:val="22"/>
          <w:szCs w:val="22"/>
        </w:rPr>
        <w:t xml:space="preserve"> – Proposal Review Sheet, Award Acceptance Request / Compliance Review Form (just like new award);</w:t>
      </w:r>
    </w:p>
    <w:p w:rsidR="004E27B6" w:rsidRDefault="004E27B6" w:rsidP="004E27B6">
      <w:pPr>
        <w:pStyle w:val="xmsonormal"/>
        <w:ind w:left="1080" w:hanging="360"/>
        <w:textAlignment w:val="center"/>
      </w:pPr>
      <w:r>
        <w:rPr>
          <w:rFonts w:ascii="Calibri" w:hAnsi="Calibri" w:cs="Calibri"/>
          <w:color w:val="000000"/>
          <w:sz w:val="22"/>
          <w:szCs w:val="22"/>
        </w:rPr>
        <w:t>4.</w:t>
      </w:r>
      <w:r>
        <w:rPr>
          <w:color w:val="000000"/>
          <w:sz w:val="14"/>
          <w:szCs w:val="14"/>
        </w:rPr>
        <w:t xml:space="preserve">       </w:t>
      </w:r>
      <w:r>
        <w:rPr>
          <w:rFonts w:ascii="Calibri" w:hAnsi="Calibri" w:cs="Calibri"/>
          <w:color w:val="000000"/>
          <w:sz w:val="22"/>
          <w:szCs w:val="22"/>
        </w:rPr>
        <w:t xml:space="preserve">If an Internal (NCE) </w:t>
      </w:r>
      <w:r>
        <w:rPr>
          <w:rFonts w:ascii="Calibri" w:hAnsi="Calibri" w:cs="Calibri"/>
          <w:b/>
          <w:bCs/>
          <w:color w:val="000000"/>
          <w:sz w:val="22"/>
          <w:szCs w:val="22"/>
        </w:rPr>
        <w:t>Extension while we wait for next segment</w:t>
      </w:r>
      <w:r>
        <w:rPr>
          <w:rFonts w:ascii="Calibri" w:hAnsi="Calibri" w:cs="Calibri"/>
          <w:color w:val="000000"/>
          <w:sz w:val="22"/>
          <w:szCs w:val="22"/>
        </w:rPr>
        <w:t xml:space="preserve"> (i.e. NIH at RPPR stage) – CRF;</w:t>
      </w:r>
    </w:p>
    <w:p w:rsidR="004E27B6" w:rsidRDefault="004E27B6" w:rsidP="004E27B6">
      <w:pPr>
        <w:pStyle w:val="xmsonormal"/>
        <w:ind w:left="1080" w:hanging="360"/>
        <w:textAlignment w:val="center"/>
      </w:pPr>
      <w:r>
        <w:rPr>
          <w:rFonts w:ascii="Calibri" w:hAnsi="Calibri" w:cs="Calibri"/>
          <w:color w:val="000000"/>
          <w:sz w:val="22"/>
          <w:szCs w:val="22"/>
        </w:rPr>
        <w:t>5.</w:t>
      </w:r>
      <w:r>
        <w:rPr>
          <w:color w:val="000000"/>
          <w:sz w:val="14"/>
          <w:szCs w:val="14"/>
        </w:rPr>
        <w:t xml:space="preserve">       </w:t>
      </w:r>
      <w:r>
        <w:rPr>
          <w:rFonts w:ascii="Calibri" w:hAnsi="Calibri" w:cs="Calibri"/>
          <w:color w:val="000000"/>
          <w:sz w:val="22"/>
          <w:szCs w:val="22"/>
        </w:rPr>
        <w:t xml:space="preserve">If at </w:t>
      </w:r>
      <w:r>
        <w:rPr>
          <w:rFonts w:ascii="Calibri" w:hAnsi="Calibri" w:cs="Calibri"/>
          <w:b/>
          <w:bCs/>
          <w:color w:val="000000"/>
          <w:sz w:val="22"/>
          <w:szCs w:val="22"/>
        </w:rPr>
        <w:t xml:space="preserve">Just </w:t>
      </w:r>
      <w:proofErr w:type="gramStart"/>
      <w:r>
        <w:rPr>
          <w:rFonts w:ascii="Calibri" w:hAnsi="Calibri" w:cs="Calibri"/>
          <w:b/>
          <w:bCs/>
          <w:color w:val="000000"/>
          <w:sz w:val="22"/>
          <w:szCs w:val="22"/>
        </w:rPr>
        <w:t>In</w:t>
      </w:r>
      <w:proofErr w:type="gramEnd"/>
      <w:r>
        <w:rPr>
          <w:rFonts w:ascii="Calibri" w:hAnsi="Calibri" w:cs="Calibri"/>
          <w:b/>
          <w:bCs/>
          <w:color w:val="000000"/>
          <w:sz w:val="22"/>
          <w:szCs w:val="22"/>
        </w:rPr>
        <w:t xml:space="preserve"> Time Stage or Revised Budget Stage</w:t>
      </w:r>
      <w:r>
        <w:rPr>
          <w:rFonts w:ascii="Calibri" w:hAnsi="Calibri" w:cs="Calibri"/>
          <w:color w:val="000000"/>
          <w:sz w:val="22"/>
          <w:szCs w:val="22"/>
        </w:rPr>
        <w:t xml:space="preserve"> – PRS, AAR / CRF (just like new award).</w:t>
      </w:r>
    </w:p>
    <w:p w:rsidR="004E27B6" w:rsidRDefault="004E27B6" w:rsidP="004E27B6">
      <w:pPr>
        <w:pStyle w:val="xmsonormal"/>
        <w:ind w:left="1620"/>
      </w:pPr>
      <w:r>
        <w:rPr>
          <w:rFonts w:ascii="Calibri" w:hAnsi="Calibri" w:cs="Calibri"/>
          <w:color w:val="000000"/>
          <w:sz w:val="22"/>
          <w:szCs w:val="22"/>
        </w:rPr>
        <w:t> </w:t>
      </w:r>
    </w:p>
    <w:p w:rsidR="004E27B6" w:rsidRDefault="004E27B6" w:rsidP="004E27B6">
      <w:pPr>
        <w:pStyle w:val="xmsonormal"/>
        <w:ind w:left="540" w:hanging="360"/>
        <w:textAlignment w:val="center"/>
      </w:pPr>
      <w:r>
        <w:rPr>
          <w:rFonts w:ascii="Calibri" w:hAnsi="Calibri" w:cs="Calibri"/>
          <w:color w:val="000000"/>
          <w:sz w:val="22"/>
          <w:szCs w:val="22"/>
        </w:rPr>
        <w:t>5.</w:t>
      </w:r>
      <w:r>
        <w:rPr>
          <w:color w:val="000000"/>
          <w:sz w:val="14"/>
          <w:szCs w:val="14"/>
        </w:rPr>
        <w:t xml:space="preserve">       </w:t>
      </w:r>
      <w:r>
        <w:rPr>
          <w:rFonts w:ascii="Calibri" w:hAnsi="Calibri" w:cs="Calibri"/>
          <w:color w:val="000000"/>
          <w:sz w:val="22"/>
          <w:szCs w:val="22"/>
        </w:rPr>
        <w:t>Keep in mind, if the Sponsor awards a multiple year project, with automatic carryforward, the entire project period can be set up initially, thereby, eliminating the need for LOG extensions from one year to another.</w:t>
      </w:r>
    </w:p>
    <w:p w:rsidR="004E27B6" w:rsidRDefault="004E27B6" w:rsidP="004E27B6">
      <w:pPr>
        <w:pStyle w:val="xmsonormal"/>
        <w:ind w:left="1080"/>
      </w:pPr>
      <w:r>
        <w:rPr>
          <w:rFonts w:ascii="Calibri" w:hAnsi="Calibri" w:cs="Calibri"/>
          <w:color w:val="000000"/>
          <w:sz w:val="22"/>
          <w:szCs w:val="22"/>
        </w:rPr>
        <w:t> </w:t>
      </w:r>
    </w:p>
    <w:p w:rsidR="004E27B6" w:rsidRDefault="004E27B6" w:rsidP="004E27B6">
      <w:pPr>
        <w:pStyle w:val="xmsonormal"/>
        <w:ind w:left="540" w:hanging="360"/>
        <w:textAlignment w:val="center"/>
      </w:pPr>
      <w:r>
        <w:rPr>
          <w:rFonts w:ascii="Calibri" w:hAnsi="Calibri" w:cs="Calibri"/>
          <w:color w:val="000000"/>
          <w:sz w:val="22"/>
          <w:szCs w:val="22"/>
        </w:rPr>
        <w:t>6.</w:t>
      </w:r>
      <w:r>
        <w:rPr>
          <w:color w:val="000000"/>
          <w:sz w:val="14"/>
          <w:szCs w:val="14"/>
        </w:rPr>
        <w:t xml:space="preserve">       </w:t>
      </w:r>
      <w:r>
        <w:rPr>
          <w:rFonts w:ascii="Calibri" w:hAnsi="Calibri" w:cs="Calibri"/>
          <w:color w:val="000000"/>
          <w:sz w:val="22"/>
          <w:szCs w:val="22"/>
        </w:rPr>
        <w:t xml:space="preserve">Requests for LOG should be sent to Grants and Contracts Division GA’s, </w:t>
      </w:r>
      <w:r>
        <w:rPr>
          <w:rFonts w:ascii="Calibri" w:hAnsi="Calibri" w:cs="Calibri"/>
          <w:color w:val="000000"/>
          <w:sz w:val="22"/>
          <w:szCs w:val="22"/>
          <w:u w:val="single"/>
        </w:rPr>
        <w:t>not to Accounting Division GA’s</w:t>
      </w:r>
      <w:r>
        <w:rPr>
          <w:rFonts w:ascii="Calibri" w:hAnsi="Calibri" w:cs="Calibri"/>
          <w:color w:val="000000"/>
          <w:sz w:val="22"/>
          <w:szCs w:val="22"/>
        </w:rPr>
        <w:t>. Accounting Division GA’s should return a request received directly from a Department, and/or forward it to the appropriate G&amp;C GA for review.</w:t>
      </w:r>
    </w:p>
    <w:p w:rsidR="004E27B6" w:rsidRDefault="004E27B6" w:rsidP="004E27B6">
      <w:pPr>
        <w:pStyle w:val="xmsonormal"/>
        <w:ind w:left="540"/>
      </w:pPr>
      <w:r>
        <w:rPr>
          <w:rFonts w:ascii="Calibri" w:hAnsi="Calibri" w:cs="Calibri"/>
          <w:color w:val="000000"/>
          <w:sz w:val="22"/>
          <w:szCs w:val="22"/>
        </w:rPr>
        <w:t> </w:t>
      </w:r>
    </w:p>
    <w:p w:rsidR="004E27B6" w:rsidRDefault="004E27B6" w:rsidP="004E27B6">
      <w:pPr>
        <w:pStyle w:val="xmsonormal"/>
        <w:ind w:left="540" w:hanging="360"/>
        <w:textAlignment w:val="center"/>
      </w:pPr>
      <w:r>
        <w:rPr>
          <w:rFonts w:ascii="Calibri" w:hAnsi="Calibri" w:cs="Calibri"/>
          <w:color w:val="000000"/>
          <w:sz w:val="22"/>
          <w:szCs w:val="22"/>
        </w:rPr>
        <w:t>7.</w:t>
      </w:r>
      <w:r>
        <w:rPr>
          <w:color w:val="000000"/>
          <w:sz w:val="14"/>
          <w:szCs w:val="14"/>
        </w:rPr>
        <w:t xml:space="preserve">       </w:t>
      </w:r>
      <w:r>
        <w:rPr>
          <w:rFonts w:ascii="Calibri" w:hAnsi="Calibri" w:cs="Calibri"/>
          <w:color w:val="000000"/>
          <w:sz w:val="22"/>
          <w:szCs w:val="22"/>
        </w:rPr>
        <w:t>Accounting Division will need to know the sponsor (who we are getting the money from) and the Prime Sponsor (if flow through) to make sure accounts are set up correctly.  If NIH, provide the specific Institute funding the award, e.g. NHLBI.</w:t>
      </w:r>
    </w:p>
    <w:p w:rsidR="004E27B6" w:rsidRDefault="004E27B6" w:rsidP="004E27B6">
      <w:pPr>
        <w:pStyle w:val="xmsonormal"/>
        <w:ind w:left="1080"/>
      </w:pPr>
      <w:r>
        <w:rPr>
          <w:rFonts w:ascii="Calibri" w:hAnsi="Calibri" w:cs="Calibri"/>
          <w:b/>
          <w:bCs/>
          <w:color w:val="000000"/>
        </w:rPr>
        <w:t>NOTE:</w:t>
      </w:r>
      <w:r>
        <w:rPr>
          <w:rFonts w:ascii="Calibri" w:hAnsi="Calibri" w:cs="Calibri"/>
          <w:color w:val="000000"/>
          <w:sz w:val="22"/>
          <w:szCs w:val="22"/>
        </w:rPr>
        <w:t xml:space="preserve">  If the sponsor is new, LOG set-up may be delayed while the sponsor is being established in SAP (Treasurer </w:t>
      </w:r>
      <w:proofErr w:type="gramStart"/>
      <w:r>
        <w:rPr>
          <w:rFonts w:ascii="Calibri" w:hAnsi="Calibri" w:cs="Calibri"/>
          <w:color w:val="000000"/>
          <w:sz w:val="22"/>
          <w:szCs w:val="22"/>
        </w:rPr>
        <w:t>function</w:t>
      </w:r>
      <w:proofErr w:type="gramEnd"/>
      <w:r>
        <w:rPr>
          <w:rFonts w:ascii="Calibri" w:hAnsi="Calibri" w:cs="Calibri"/>
          <w:color w:val="000000"/>
          <w:sz w:val="22"/>
          <w:szCs w:val="22"/>
        </w:rPr>
        <w:t xml:space="preserve">).  The UC Treasurer’s Office requires each </w:t>
      </w:r>
      <w:proofErr w:type="gramStart"/>
      <w:r>
        <w:rPr>
          <w:rFonts w:ascii="Calibri" w:hAnsi="Calibri" w:cs="Calibri"/>
          <w:color w:val="000000"/>
          <w:sz w:val="22"/>
          <w:szCs w:val="22"/>
        </w:rPr>
        <w:t>sponsor’s</w:t>
      </w:r>
      <w:proofErr w:type="gramEnd"/>
      <w:r>
        <w:rPr>
          <w:rFonts w:ascii="Calibri" w:hAnsi="Calibri" w:cs="Calibri"/>
          <w:color w:val="000000"/>
          <w:sz w:val="22"/>
          <w:szCs w:val="22"/>
        </w:rPr>
        <w:t>:</w:t>
      </w:r>
    </w:p>
    <w:p w:rsidR="004E27B6" w:rsidRDefault="004E27B6" w:rsidP="004E27B6">
      <w:pPr>
        <w:pStyle w:val="xmsonormal"/>
        <w:ind w:left="1620" w:hanging="360"/>
        <w:textAlignment w:val="center"/>
      </w:pPr>
      <w:r>
        <w:rPr>
          <w:rFonts w:ascii="Calibri" w:hAnsi="Calibri" w:cs="Calibri"/>
          <w:color w:val="000000"/>
          <w:sz w:val="22"/>
          <w:szCs w:val="22"/>
        </w:rPr>
        <w:t>a.</w:t>
      </w:r>
      <w:r>
        <w:rPr>
          <w:color w:val="000000"/>
          <w:sz w:val="14"/>
          <w:szCs w:val="14"/>
        </w:rPr>
        <w:t xml:space="preserve">       </w:t>
      </w:r>
      <w:r>
        <w:rPr>
          <w:rFonts w:ascii="Calibri" w:hAnsi="Calibri" w:cs="Calibri"/>
          <w:color w:val="000000"/>
          <w:sz w:val="22"/>
          <w:szCs w:val="22"/>
        </w:rPr>
        <w:t>Legal name;</w:t>
      </w:r>
    </w:p>
    <w:p w:rsidR="004E27B6" w:rsidRDefault="004E27B6" w:rsidP="004E27B6">
      <w:pPr>
        <w:pStyle w:val="xmsonormal"/>
        <w:ind w:left="1620" w:hanging="360"/>
        <w:textAlignment w:val="center"/>
      </w:pPr>
      <w:r>
        <w:rPr>
          <w:rFonts w:ascii="Calibri" w:hAnsi="Calibri" w:cs="Calibri"/>
          <w:color w:val="000000"/>
          <w:sz w:val="22"/>
          <w:szCs w:val="22"/>
        </w:rPr>
        <w:t>b.</w:t>
      </w:r>
      <w:r>
        <w:rPr>
          <w:color w:val="000000"/>
          <w:sz w:val="14"/>
          <w:szCs w:val="14"/>
        </w:rPr>
        <w:t xml:space="preserve">      </w:t>
      </w:r>
      <w:r>
        <w:rPr>
          <w:rFonts w:ascii="Calibri" w:hAnsi="Calibri" w:cs="Calibri"/>
          <w:color w:val="000000"/>
          <w:sz w:val="22"/>
          <w:szCs w:val="22"/>
        </w:rPr>
        <w:t>Tax ID #;</w:t>
      </w:r>
    </w:p>
    <w:p w:rsidR="004E27B6" w:rsidRDefault="004E27B6" w:rsidP="004E27B6">
      <w:pPr>
        <w:pStyle w:val="xmsonormal"/>
        <w:ind w:left="1620" w:hanging="360"/>
        <w:textAlignment w:val="center"/>
      </w:pPr>
      <w:r>
        <w:rPr>
          <w:rFonts w:ascii="Calibri" w:hAnsi="Calibri" w:cs="Calibri"/>
          <w:color w:val="000000"/>
          <w:sz w:val="22"/>
          <w:szCs w:val="22"/>
        </w:rPr>
        <w:t>c.</w:t>
      </w:r>
      <w:r>
        <w:rPr>
          <w:color w:val="000000"/>
          <w:sz w:val="14"/>
          <w:szCs w:val="14"/>
        </w:rPr>
        <w:t xml:space="preserve">       </w:t>
      </w:r>
      <w:r>
        <w:rPr>
          <w:rFonts w:ascii="Calibri" w:hAnsi="Calibri" w:cs="Calibri"/>
          <w:color w:val="000000"/>
          <w:sz w:val="22"/>
          <w:szCs w:val="22"/>
        </w:rPr>
        <w:t>Address;</w:t>
      </w:r>
    </w:p>
    <w:p w:rsidR="004E27B6" w:rsidRDefault="004E27B6" w:rsidP="004E27B6">
      <w:pPr>
        <w:pStyle w:val="xmsonormal"/>
        <w:ind w:left="1620" w:hanging="360"/>
        <w:textAlignment w:val="center"/>
      </w:pPr>
      <w:r>
        <w:rPr>
          <w:rFonts w:ascii="Calibri" w:hAnsi="Calibri" w:cs="Calibri"/>
          <w:color w:val="000000"/>
          <w:sz w:val="22"/>
          <w:szCs w:val="22"/>
        </w:rPr>
        <w:t>d.</w:t>
      </w:r>
      <w:r>
        <w:rPr>
          <w:color w:val="000000"/>
          <w:sz w:val="14"/>
          <w:szCs w:val="14"/>
        </w:rPr>
        <w:t xml:space="preserve">      </w:t>
      </w:r>
      <w:r>
        <w:rPr>
          <w:rFonts w:ascii="Calibri" w:hAnsi="Calibri" w:cs="Calibri"/>
          <w:color w:val="000000"/>
          <w:sz w:val="22"/>
          <w:szCs w:val="22"/>
        </w:rPr>
        <w:t xml:space="preserve">Contact person, including phone number and email address.  </w:t>
      </w:r>
    </w:p>
    <w:p w:rsidR="004E27B6" w:rsidRDefault="004E27B6" w:rsidP="004E27B6">
      <w:pPr>
        <w:pStyle w:val="xmsonormal"/>
        <w:ind w:left="1080"/>
      </w:pPr>
      <w:r>
        <w:rPr>
          <w:rFonts w:ascii="Calibri" w:hAnsi="Calibri" w:cs="Calibri"/>
          <w:color w:val="000000"/>
          <w:sz w:val="22"/>
          <w:szCs w:val="22"/>
        </w:rPr>
        <w:t> </w:t>
      </w:r>
    </w:p>
    <w:p w:rsidR="004E27B6" w:rsidRDefault="004E27B6" w:rsidP="004E27B6">
      <w:pPr>
        <w:pStyle w:val="xmsonormal"/>
        <w:ind w:left="540" w:hanging="360"/>
        <w:textAlignment w:val="center"/>
      </w:pPr>
      <w:r>
        <w:rPr>
          <w:rFonts w:ascii="Calibri" w:hAnsi="Calibri" w:cs="Calibri"/>
          <w:color w:val="000000"/>
          <w:sz w:val="22"/>
          <w:szCs w:val="22"/>
        </w:rPr>
        <w:t>8.</w:t>
      </w:r>
      <w:r>
        <w:rPr>
          <w:color w:val="000000"/>
          <w:sz w:val="14"/>
          <w:szCs w:val="14"/>
        </w:rPr>
        <w:t xml:space="preserve">       </w:t>
      </w:r>
      <w:r>
        <w:rPr>
          <w:rFonts w:ascii="Calibri" w:hAnsi="Calibri" w:cs="Calibri"/>
          <w:color w:val="000000"/>
          <w:sz w:val="22"/>
          <w:szCs w:val="22"/>
        </w:rPr>
        <w:t xml:space="preserve">If available, agencies’ guidelines and restrictions would be helpful when setting up the award. </w:t>
      </w:r>
    </w:p>
    <w:p w:rsidR="004E27B6" w:rsidRDefault="004E27B6" w:rsidP="004E27B6">
      <w:pPr>
        <w:pStyle w:val="xmsonormal"/>
        <w:ind w:left="540"/>
      </w:pPr>
      <w:r>
        <w:rPr>
          <w:rFonts w:ascii="Calibri" w:hAnsi="Calibri" w:cs="Calibri"/>
          <w:color w:val="000000"/>
          <w:sz w:val="22"/>
          <w:szCs w:val="22"/>
        </w:rPr>
        <w:t> </w:t>
      </w:r>
    </w:p>
    <w:p w:rsidR="004E27B6" w:rsidRDefault="004E27B6" w:rsidP="004E27B6">
      <w:pPr>
        <w:pStyle w:val="xmsonormal"/>
        <w:ind w:left="540" w:hanging="360"/>
        <w:textAlignment w:val="center"/>
      </w:pPr>
      <w:r>
        <w:rPr>
          <w:rFonts w:ascii="Calibri" w:hAnsi="Calibri" w:cs="Calibri"/>
          <w:color w:val="000000"/>
          <w:sz w:val="22"/>
          <w:szCs w:val="22"/>
        </w:rPr>
        <w:lastRenderedPageBreak/>
        <w:t>9.</w:t>
      </w:r>
      <w:r>
        <w:rPr>
          <w:color w:val="000000"/>
          <w:sz w:val="14"/>
          <w:szCs w:val="14"/>
        </w:rPr>
        <w:t xml:space="preserve">       </w:t>
      </w:r>
      <w:r>
        <w:rPr>
          <w:rFonts w:ascii="Calibri" w:hAnsi="Calibri" w:cs="Calibri"/>
          <w:color w:val="000000"/>
          <w:sz w:val="22"/>
          <w:szCs w:val="22"/>
        </w:rPr>
        <w:t xml:space="preserve">As a reminder, the Department acknowledges that any costs incurred or expended by the University prior to full execution of the funding agreement </w:t>
      </w:r>
      <w:proofErr w:type="gramStart"/>
      <w:r>
        <w:rPr>
          <w:rFonts w:ascii="Calibri" w:hAnsi="Calibri" w:cs="Calibri"/>
          <w:color w:val="000000"/>
          <w:sz w:val="22"/>
          <w:szCs w:val="22"/>
        </w:rPr>
        <w:t>are done</w:t>
      </w:r>
      <w:proofErr w:type="gramEnd"/>
      <w:r>
        <w:rPr>
          <w:rFonts w:ascii="Calibri" w:hAnsi="Calibri" w:cs="Calibri"/>
          <w:color w:val="000000"/>
          <w:sz w:val="22"/>
          <w:szCs w:val="22"/>
        </w:rPr>
        <w:t xml:space="preserve"> at the Department's own risk. No funds </w:t>
      </w:r>
      <w:proofErr w:type="gramStart"/>
      <w:r>
        <w:rPr>
          <w:rFonts w:ascii="Calibri" w:hAnsi="Calibri" w:cs="Calibri"/>
          <w:color w:val="000000"/>
          <w:sz w:val="22"/>
          <w:szCs w:val="22"/>
        </w:rPr>
        <w:t>will be disbursed</w:t>
      </w:r>
      <w:proofErr w:type="gramEnd"/>
      <w:r>
        <w:rPr>
          <w:rFonts w:ascii="Calibri" w:hAnsi="Calibri" w:cs="Calibri"/>
          <w:color w:val="000000"/>
          <w:sz w:val="22"/>
          <w:szCs w:val="22"/>
        </w:rPr>
        <w:t xml:space="preserve"> to the Department until the funding agreement is fully executed by both parties.</w:t>
      </w:r>
    </w:p>
    <w:p w:rsidR="00EF2D44" w:rsidRDefault="00EF2D44"/>
    <w:sectPr w:rsidR="00EF2D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7B6" w:rsidRDefault="004E27B6" w:rsidP="004E27B6">
      <w:pPr>
        <w:spacing w:after="0" w:line="240" w:lineRule="auto"/>
      </w:pPr>
      <w:r>
        <w:separator/>
      </w:r>
    </w:p>
  </w:endnote>
  <w:endnote w:type="continuationSeparator" w:id="0">
    <w:p w:rsidR="004E27B6" w:rsidRDefault="004E27B6" w:rsidP="004E2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7B6" w:rsidRDefault="004E2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7B6" w:rsidRDefault="004E2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7B6" w:rsidRDefault="004E2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7B6" w:rsidRDefault="004E27B6" w:rsidP="004E27B6">
      <w:pPr>
        <w:spacing w:after="0" w:line="240" w:lineRule="auto"/>
      </w:pPr>
      <w:r>
        <w:separator/>
      </w:r>
    </w:p>
  </w:footnote>
  <w:footnote w:type="continuationSeparator" w:id="0">
    <w:p w:rsidR="004E27B6" w:rsidRDefault="004E27B6" w:rsidP="004E2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7B6" w:rsidRDefault="004E2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7B6" w:rsidRDefault="004E27B6" w:rsidP="004E27B6">
    <w:pPr>
      <w:pStyle w:val="Header"/>
      <w:jc w:val="right"/>
    </w:pPr>
    <w:r>
      <w:t xml:space="preserve">Last Updated </w:t>
    </w:r>
    <w:r>
      <w:t>8-1-19</w:t>
    </w:r>
    <w:bookmarkStart w:id="0" w:name="_GoBack"/>
    <w:bookmarkEnd w:id="0"/>
  </w:p>
  <w:p w:rsidR="004E27B6" w:rsidRDefault="004E2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7B6" w:rsidRDefault="004E27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B6"/>
    <w:rsid w:val="004E27B6"/>
    <w:rsid w:val="00EF2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812C00"/>
  <w15:chartTrackingRefBased/>
  <w15:docId w15:val="{C4615B29-94BC-468A-BA20-BFFEF947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4E27B6"/>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4E2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7B6"/>
  </w:style>
  <w:style w:type="paragraph" w:styleId="Footer">
    <w:name w:val="footer"/>
    <w:basedOn w:val="Normal"/>
    <w:link w:val="FooterChar"/>
    <w:uiPriority w:val="99"/>
    <w:unhideWhenUsed/>
    <w:rsid w:val="004E2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13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2480</Characters>
  <Application>Microsoft Office Word</Application>
  <DocSecurity>0</DocSecurity>
  <Lines>20</Lines>
  <Paragraphs>5</Paragraphs>
  <ScaleCrop>false</ScaleCrop>
  <Company>University of Cincinnati</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Lampson, Amanda (lampsoam)</dc:creator>
  <cp:keywords/>
  <dc:description/>
  <cp:lastModifiedBy>Lampson, Amanda (lampsoam)</cp:lastModifiedBy>
  <cp:revision>1</cp:revision>
  <dcterms:created xsi:type="dcterms:W3CDTF">2019-08-01T15:21:00Z</dcterms:created>
  <dcterms:modified xsi:type="dcterms:W3CDTF">2019-08-01T15:22:00Z</dcterms:modified>
</cp:coreProperties>
</file>