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15" w:rsidRDefault="00F44E15" w:rsidP="00F44E15">
      <w:pPr>
        <w:pStyle w:val="Heading1"/>
      </w:pPr>
    </w:p>
    <w:p w:rsidR="00F44E15" w:rsidRDefault="00F44E15" w:rsidP="00F44E15">
      <w:pPr>
        <w:pStyle w:val="Heading1"/>
      </w:pPr>
      <w:r>
        <w:t>PRE STUDY SITE / INVESTIGATOR QUALIFICATION</w:t>
      </w:r>
    </w:p>
    <w:p w:rsidR="00F44E15" w:rsidRDefault="00F44E15" w:rsidP="00F44E15"/>
    <w:p w:rsidR="00820901" w:rsidRDefault="00820901"/>
    <w:p w:rsidR="000C2069" w:rsidRDefault="00820901" w:rsidP="00E85A11">
      <w:pPr>
        <w:numPr>
          <w:ilvl w:val="0"/>
          <w:numId w:val="1"/>
        </w:numPr>
        <w:tabs>
          <w:tab w:val="clear" w:pos="1440"/>
          <w:tab w:val="num" w:pos="1260"/>
        </w:tabs>
        <w:ind w:left="1260" w:hanging="540"/>
      </w:pPr>
      <w:r>
        <w:rPr>
          <w:b/>
          <w:bCs/>
          <w:u w:val="single"/>
        </w:rPr>
        <w:t>PURPOSE</w:t>
      </w:r>
      <w:r>
        <w:rPr>
          <w:b/>
          <w:bCs/>
          <w:u w:val="single"/>
        </w:rPr>
        <w:br/>
      </w:r>
      <w:r>
        <w:rPr>
          <w:b/>
          <w:bCs/>
          <w:u w:val="single"/>
        </w:rPr>
        <w:br/>
      </w:r>
      <w:r>
        <w:t>To define procedures to be followed during site selection for a specific clinic</w:t>
      </w:r>
      <w:r w:rsidR="008F78FB">
        <w:t xml:space="preserve">al study conducted by &lt;name of </w:t>
      </w:r>
      <w:r w:rsidR="000C75DF">
        <w:t>Sponsor/Investigator</w:t>
      </w:r>
      <w:r>
        <w:t>&gt; and the required documentation associated with these activities.</w:t>
      </w:r>
    </w:p>
    <w:p w:rsidR="000C2069" w:rsidRDefault="000C2069" w:rsidP="000C2069">
      <w:pPr>
        <w:ind w:left="1260"/>
      </w:pPr>
    </w:p>
    <w:p w:rsidR="000C2069" w:rsidRDefault="000C2069" w:rsidP="00E85A11">
      <w:pPr>
        <w:numPr>
          <w:ilvl w:val="0"/>
          <w:numId w:val="1"/>
        </w:numPr>
        <w:tabs>
          <w:tab w:val="clear" w:pos="1440"/>
          <w:tab w:val="num" w:pos="1260"/>
        </w:tabs>
        <w:ind w:left="1260" w:hanging="540"/>
      </w:pPr>
      <w:r>
        <w:rPr>
          <w:b/>
          <w:bCs/>
          <w:u w:val="single"/>
        </w:rPr>
        <w:t xml:space="preserve"> </w:t>
      </w:r>
      <w:r w:rsidR="00820901">
        <w:rPr>
          <w:b/>
          <w:bCs/>
          <w:u w:val="single"/>
        </w:rPr>
        <w:t>SCOPE</w:t>
      </w:r>
      <w:r w:rsidR="00820901">
        <w:rPr>
          <w:b/>
          <w:bCs/>
          <w:u w:val="single"/>
        </w:rPr>
        <w:br/>
      </w:r>
      <w:r w:rsidR="00820901">
        <w:rPr>
          <w:b/>
          <w:bCs/>
          <w:u w:val="single"/>
        </w:rPr>
        <w:br/>
      </w:r>
      <w:r w:rsidR="00820901">
        <w:t xml:space="preserve">This SOP is required for all </w:t>
      </w:r>
      <w:r w:rsidR="00C22492">
        <w:t>c</w:t>
      </w:r>
      <w:r w:rsidR="00820901">
        <w:t xml:space="preserve">linical studies conducted by &lt;insert </w:t>
      </w:r>
      <w:r w:rsidR="000C75DF">
        <w:t>Sponsor/Investigator</w:t>
      </w:r>
      <w:r w:rsidR="00820901">
        <w:t xml:space="preserve"> name&gt;</w:t>
      </w:r>
      <w:r w:rsidR="00C22492">
        <w:t xml:space="preserve"> involving human subjects</w:t>
      </w:r>
      <w:r w:rsidR="00820901">
        <w:t>.</w:t>
      </w:r>
    </w:p>
    <w:p w:rsidR="000C2069" w:rsidRDefault="000C2069" w:rsidP="000C2069">
      <w:pPr>
        <w:pStyle w:val="ListParagraph"/>
        <w:rPr>
          <w:b/>
          <w:bCs/>
          <w:u w:val="single"/>
        </w:rPr>
      </w:pPr>
    </w:p>
    <w:p w:rsidR="000C2069" w:rsidRDefault="000C2069" w:rsidP="000C2069">
      <w:pPr>
        <w:numPr>
          <w:ilvl w:val="0"/>
          <w:numId w:val="1"/>
        </w:numPr>
        <w:tabs>
          <w:tab w:val="clear" w:pos="1440"/>
          <w:tab w:val="num" w:pos="1260"/>
        </w:tabs>
        <w:ind w:left="1260" w:hanging="540"/>
      </w:pPr>
      <w:r>
        <w:rPr>
          <w:b/>
          <w:bCs/>
          <w:u w:val="single"/>
        </w:rPr>
        <w:t xml:space="preserve"> </w:t>
      </w:r>
      <w:r w:rsidR="00820901">
        <w:rPr>
          <w:b/>
          <w:bCs/>
          <w:u w:val="single"/>
        </w:rPr>
        <w:t>BACKGROUND</w:t>
      </w:r>
      <w:r w:rsidR="00820901">
        <w:rPr>
          <w:b/>
          <w:bCs/>
          <w:u w:val="single"/>
        </w:rPr>
        <w:br/>
      </w:r>
      <w:r w:rsidR="00820901">
        <w:br/>
        <w:t xml:space="preserve">&lt;Name of </w:t>
      </w:r>
      <w:r w:rsidR="000C75DF">
        <w:t>Sponsor/Investigator</w:t>
      </w:r>
      <w:r w:rsidR="00820901">
        <w:t xml:space="preserve">&gt; shall select qualified investigators based on their training and experience to investigate the </w:t>
      </w:r>
      <w:r w:rsidR="00F44E15">
        <w:t>drug/</w:t>
      </w:r>
      <w:r w:rsidR="00820901">
        <w:t>device</w:t>
      </w:r>
      <w:r w:rsidR="00E27B13">
        <w:t>/biologics</w:t>
      </w:r>
      <w:r w:rsidR="00820901">
        <w:t xml:space="preserve">.  21 CFR </w:t>
      </w:r>
      <w:r w:rsidR="00F44E15">
        <w:t xml:space="preserve">312 &amp; </w:t>
      </w:r>
      <w:r w:rsidR="00820901">
        <w:t>812.</w:t>
      </w:r>
    </w:p>
    <w:p w:rsidR="000C2069" w:rsidRDefault="000C2069" w:rsidP="000C2069">
      <w:pPr>
        <w:pStyle w:val="HTMLPreformatted"/>
        <w:tabs>
          <w:tab w:val="num" w:pos="1260"/>
        </w:tabs>
        <w:ind w:left="1260" w:hanging="54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br/>
      </w:r>
      <w:r w:rsidR="000C75DF">
        <w:rPr>
          <w:rFonts w:ascii="Times New Roman" w:hAnsi="Times New Roman" w:cs="Times New Roman"/>
          <w:sz w:val="24"/>
        </w:rPr>
        <w:t>Sponsor/Investigator</w:t>
      </w:r>
      <w:r w:rsidR="00820901">
        <w:rPr>
          <w:rFonts w:ascii="Times New Roman" w:hAnsi="Times New Roman" w:cs="Times New Roman"/>
          <w:sz w:val="24"/>
        </w:rPr>
        <w:t xml:space="preserve">s are responsible for selecting qualified investigators and providing them with the information they need to conduct the investigation properly, ensuring proper monitoring of the investigation, ensuring that IRB review and approval are obtained, submitting an </w:t>
      </w:r>
      <w:r w:rsidR="00E27B13">
        <w:rPr>
          <w:rFonts w:ascii="Times New Roman" w:hAnsi="Times New Roman" w:cs="Times New Roman"/>
          <w:sz w:val="24"/>
        </w:rPr>
        <w:t>IND/</w:t>
      </w:r>
      <w:r w:rsidR="00820901">
        <w:rPr>
          <w:rFonts w:ascii="Times New Roman" w:hAnsi="Times New Roman" w:cs="Times New Roman"/>
          <w:sz w:val="24"/>
        </w:rPr>
        <w:t>IDE application to FDA, and ensuring that any reviewing IRB and FDA are promptly informed of significant new information about an investigation.</w:t>
      </w:r>
      <w:r>
        <w:rPr>
          <w:rFonts w:ascii="Times New Roman" w:hAnsi="Times New Roman" w:cs="Times New Roman"/>
          <w:sz w:val="24"/>
        </w:rPr>
        <w:t xml:space="preserve"> </w:t>
      </w:r>
    </w:p>
    <w:p w:rsidR="000C2069" w:rsidRDefault="000C2069" w:rsidP="00E85A11">
      <w:pPr>
        <w:pStyle w:val="HTMLPreformatted"/>
        <w:tabs>
          <w:tab w:val="num" w:pos="1260"/>
        </w:tabs>
        <w:ind w:left="1260" w:hanging="540"/>
        <w:rPr>
          <w:rFonts w:ascii="Times New Roman" w:hAnsi="Times New Roman" w:cs="Times New Roman"/>
          <w:sz w:val="24"/>
        </w:rPr>
      </w:pPr>
    </w:p>
    <w:p w:rsidR="000C2069" w:rsidRDefault="00820901" w:rsidP="000C2069">
      <w:pPr>
        <w:pStyle w:val="HTMLPreformatted"/>
        <w:tabs>
          <w:tab w:val="num" w:pos="1260"/>
        </w:tabs>
        <w:ind w:left="1260"/>
        <w:rPr>
          <w:rFonts w:ascii="Times New Roman" w:hAnsi="Times New Roman" w:cs="Times New Roman"/>
          <w:sz w:val="24"/>
        </w:rPr>
      </w:pPr>
      <w:r>
        <w:rPr>
          <w:rFonts w:ascii="Times New Roman" w:hAnsi="Times New Roman" w:cs="Times New Roman"/>
          <w:sz w:val="24"/>
        </w:rPr>
        <w:t>If a coordinating committee and/or coordinating investigator(s) are to be utilized for multi-center clinical trials, their organization and selection are</w:t>
      </w:r>
      <w:r w:rsidR="0064646F">
        <w:rPr>
          <w:rFonts w:ascii="Times New Roman" w:hAnsi="Times New Roman" w:cs="Times New Roman"/>
          <w:sz w:val="24"/>
        </w:rPr>
        <w:t xml:space="preserve"> the </w:t>
      </w:r>
      <w:r w:rsidR="000C75DF">
        <w:rPr>
          <w:rFonts w:ascii="Times New Roman" w:hAnsi="Times New Roman" w:cs="Times New Roman"/>
          <w:sz w:val="24"/>
        </w:rPr>
        <w:t>Sponsor/Investigator</w:t>
      </w:r>
      <w:r w:rsidR="0064646F">
        <w:rPr>
          <w:rFonts w:ascii="Times New Roman" w:hAnsi="Times New Roman" w:cs="Times New Roman"/>
          <w:sz w:val="24"/>
        </w:rPr>
        <w:t xml:space="preserve">’s responsibility. </w:t>
      </w:r>
      <w:r>
        <w:rPr>
          <w:rFonts w:ascii="Times New Roman" w:hAnsi="Times New Roman" w:cs="Times New Roman"/>
          <w:sz w:val="24"/>
        </w:rPr>
        <w:t>ICH E6 Section 5.6 Investigator Selection.</w:t>
      </w:r>
    </w:p>
    <w:p w:rsidR="000C2069" w:rsidRDefault="000C2069" w:rsidP="000C2069">
      <w:pPr>
        <w:pStyle w:val="HTMLPreformatted"/>
        <w:tabs>
          <w:tab w:val="num" w:pos="1260"/>
        </w:tabs>
        <w:ind w:left="1260"/>
        <w:rPr>
          <w:rFonts w:ascii="Times New Roman" w:hAnsi="Times New Roman" w:cs="Times New Roman"/>
          <w:sz w:val="24"/>
        </w:rPr>
      </w:pPr>
      <w:r>
        <w:rPr>
          <w:rFonts w:ascii="Times New Roman" w:hAnsi="Times New Roman" w:cs="Times New Roman"/>
          <w:sz w:val="24"/>
        </w:rPr>
        <w:t xml:space="preserve"> </w:t>
      </w:r>
    </w:p>
    <w:p w:rsidR="00820901" w:rsidRDefault="00820901" w:rsidP="000C2069">
      <w:pPr>
        <w:pStyle w:val="HTMLPreformatted"/>
        <w:tabs>
          <w:tab w:val="num" w:pos="1260"/>
        </w:tabs>
        <w:ind w:left="1260"/>
      </w:pPr>
      <w:r>
        <w:rPr>
          <w:rFonts w:ascii="Times New Roman" w:hAnsi="Times New Roman" w:cs="Times New Roman"/>
          <w:sz w:val="24"/>
        </w:rPr>
        <w:t xml:space="preserve">[Principal] investigator means an individual who actually conducts a clinical investigation, i.e., under whose immediate direction the test article is administered or </w:t>
      </w:r>
      <w:r w:rsidR="00A73065">
        <w:rPr>
          <w:rFonts w:ascii="Times New Roman" w:hAnsi="Times New Roman" w:cs="Times New Roman"/>
          <w:sz w:val="24"/>
        </w:rPr>
        <w:t>dispensed to, or used involving</w:t>
      </w:r>
      <w:r>
        <w:rPr>
          <w:rFonts w:ascii="Times New Roman" w:hAnsi="Times New Roman" w:cs="Times New Roman"/>
          <w:sz w:val="24"/>
        </w:rPr>
        <w:t xml:space="preserve"> a subject, or, in the event of an investigation conducted by a team of individuals, is the r</w:t>
      </w:r>
      <w:r w:rsidR="0064646F">
        <w:rPr>
          <w:rFonts w:ascii="Times New Roman" w:hAnsi="Times New Roman" w:cs="Times New Roman"/>
          <w:sz w:val="24"/>
        </w:rPr>
        <w:t xml:space="preserve">esponsible leader of that team. </w:t>
      </w:r>
    </w:p>
    <w:p w:rsidR="00820901" w:rsidRDefault="00820901" w:rsidP="00341005">
      <w:pPr>
        <w:tabs>
          <w:tab w:val="num" w:pos="1260"/>
        </w:tabs>
        <w:ind w:left="1440" w:hanging="720"/>
      </w:pPr>
    </w:p>
    <w:p w:rsidR="00820901" w:rsidRDefault="00820901" w:rsidP="00E85A11">
      <w:pPr>
        <w:pStyle w:val="BodyTextIndent"/>
        <w:numPr>
          <w:ilvl w:val="0"/>
          <w:numId w:val="4"/>
        </w:numPr>
        <w:tabs>
          <w:tab w:val="clear" w:pos="720"/>
          <w:tab w:val="num" w:pos="1260"/>
        </w:tabs>
        <w:ind w:left="1260" w:hanging="540"/>
      </w:pPr>
      <w:r>
        <w:rPr>
          <w:b/>
          <w:bCs/>
          <w:u w:val="single"/>
        </w:rPr>
        <w:t>RESPONSIBILITIES</w:t>
      </w:r>
      <w:r>
        <w:rPr>
          <w:b/>
          <w:bCs/>
          <w:u w:val="single"/>
        </w:rPr>
        <w:br/>
      </w:r>
      <w:r w:rsidR="00C56B3A">
        <w:br/>
        <w:t>&lt;N</w:t>
      </w:r>
      <w:r>
        <w:t xml:space="preserve">ame of </w:t>
      </w:r>
      <w:r w:rsidR="000C75DF">
        <w:t>Sponsor/Investigator</w:t>
      </w:r>
      <w:r w:rsidR="00E27B13">
        <w:t xml:space="preserve"> </w:t>
      </w:r>
      <w:r>
        <w:t xml:space="preserve">&gt; </w:t>
      </w:r>
      <w:r w:rsidR="0010461D">
        <w:t>will be responsible for all pre</w:t>
      </w:r>
      <w:r>
        <w:t>qualification activities fo</w:t>
      </w:r>
      <w:r w:rsidR="0064646F">
        <w:t xml:space="preserve">r a specific clinical study. </w:t>
      </w:r>
      <w:r>
        <w:t>(S)he may delegate activities to selected personnel to assist in the selection of qualified investigators / suitable sites for a specific study.</w:t>
      </w:r>
      <w:r>
        <w:br/>
      </w:r>
    </w:p>
    <w:p w:rsidR="00820901" w:rsidRDefault="00820901" w:rsidP="00341005">
      <w:pPr>
        <w:pStyle w:val="BodyTextIndent"/>
        <w:tabs>
          <w:tab w:val="num" w:pos="1260"/>
        </w:tabs>
        <w:ind w:left="1440" w:hanging="720"/>
      </w:pPr>
    </w:p>
    <w:p w:rsidR="00820901" w:rsidRDefault="00820901" w:rsidP="00341005">
      <w:pPr>
        <w:numPr>
          <w:ilvl w:val="0"/>
          <w:numId w:val="5"/>
        </w:numPr>
        <w:tabs>
          <w:tab w:val="clear" w:pos="720"/>
          <w:tab w:val="num" w:pos="1260"/>
        </w:tabs>
        <w:ind w:left="1440"/>
      </w:pPr>
      <w:r>
        <w:rPr>
          <w:b/>
          <w:bCs/>
          <w:u w:val="single"/>
        </w:rPr>
        <w:t>PROCEDURE</w:t>
      </w:r>
      <w:r>
        <w:rPr>
          <w:b/>
          <w:bCs/>
          <w:u w:val="single"/>
        </w:rPr>
        <w:br/>
      </w:r>
    </w:p>
    <w:p w:rsidR="000C2069" w:rsidRDefault="00820901" w:rsidP="00341005">
      <w:pPr>
        <w:numPr>
          <w:ilvl w:val="1"/>
          <w:numId w:val="5"/>
        </w:numPr>
        <w:tabs>
          <w:tab w:val="clear" w:pos="1440"/>
          <w:tab w:val="num" w:pos="1800"/>
        </w:tabs>
        <w:ind w:left="1800" w:hanging="540"/>
      </w:pPr>
      <w:r>
        <w:t xml:space="preserve">&lt;Name of </w:t>
      </w:r>
      <w:r w:rsidR="000C75DF">
        <w:t>Sponsor/Investigator</w:t>
      </w:r>
      <w:r>
        <w:t xml:space="preserve">&gt; is responsible for training all appropriate </w:t>
      </w:r>
      <w:r w:rsidR="00C22492">
        <w:t xml:space="preserve">employees, contractors, designees and site investigators participating in trial conduct </w:t>
      </w:r>
      <w:r>
        <w:t>(if applicable) SOP</w:t>
      </w:r>
      <w:r w:rsidR="00C22492">
        <w:t>s</w:t>
      </w:r>
      <w:r w:rsidR="00A73065">
        <w:t xml:space="preserve"> and their responsibilities. </w:t>
      </w:r>
      <w:r>
        <w:t>Such training will be documented on a training log.</w:t>
      </w:r>
    </w:p>
    <w:p w:rsidR="000C2069" w:rsidRDefault="000C2069" w:rsidP="000C2069">
      <w:pPr>
        <w:ind w:left="1800"/>
      </w:pPr>
    </w:p>
    <w:p w:rsidR="000C2069" w:rsidRDefault="000C2069" w:rsidP="00341005">
      <w:pPr>
        <w:numPr>
          <w:ilvl w:val="1"/>
          <w:numId w:val="5"/>
        </w:numPr>
        <w:tabs>
          <w:tab w:val="clear" w:pos="1440"/>
          <w:tab w:val="num" w:pos="1800"/>
        </w:tabs>
        <w:ind w:left="1800" w:hanging="540"/>
      </w:pPr>
      <w:r>
        <w:t xml:space="preserve"> </w:t>
      </w:r>
      <w:r w:rsidR="00820901">
        <w:t xml:space="preserve">&lt;Name of </w:t>
      </w:r>
      <w:r w:rsidR="000C75DF">
        <w:t>Sponsor/Investigator</w:t>
      </w:r>
      <w:r w:rsidR="00820901">
        <w:t xml:space="preserve">&gt; will solicit potential investigators from a variety of methods including referrals, list of investigators from medical congresses, symposia, meetings within </w:t>
      </w:r>
      <w:r w:rsidR="00A73065">
        <w:t>a specialty, internet searches, i</w:t>
      </w:r>
      <w:r w:rsidR="00820901">
        <w:t>nvestigator databases, personal contacts, directories of medical societies, etc.</w:t>
      </w:r>
    </w:p>
    <w:p w:rsidR="000C2069" w:rsidRDefault="000C2069" w:rsidP="000C2069">
      <w:pPr>
        <w:pStyle w:val="ListParagraph"/>
      </w:pPr>
    </w:p>
    <w:p w:rsidR="00820901" w:rsidRDefault="000C2069" w:rsidP="00341005">
      <w:pPr>
        <w:numPr>
          <w:ilvl w:val="1"/>
          <w:numId w:val="5"/>
        </w:numPr>
        <w:tabs>
          <w:tab w:val="clear" w:pos="1440"/>
          <w:tab w:val="num" w:pos="1800"/>
        </w:tabs>
        <w:ind w:left="1800" w:hanging="540"/>
      </w:pPr>
      <w:bookmarkStart w:id="0" w:name="_GoBack"/>
      <w:bookmarkEnd w:id="0"/>
      <w:r>
        <w:t xml:space="preserve"> </w:t>
      </w:r>
      <w:r w:rsidR="00820901">
        <w:t>Investigators will be qualified based on a review of the following:</w:t>
      </w:r>
    </w:p>
    <w:p w:rsidR="00820901" w:rsidRDefault="00820901" w:rsidP="00341005">
      <w:pPr>
        <w:numPr>
          <w:ilvl w:val="2"/>
          <w:numId w:val="5"/>
        </w:numPr>
        <w:tabs>
          <w:tab w:val="clear" w:pos="1800"/>
          <w:tab w:val="num" w:pos="2160"/>
        </w:tabs>
        <w:ind w:left="2160"/>
      </w:pPr>
      <w:r>
        <w:t>Investigator CV (knowledge, training and experience in the field of the proposed study, publications).</w:t>
      </w:r>
    </w:p>
    <w:p w:rsidR="00820901" w:rsidRDefault="0010461D" w:rsidP="00341005">
      <w:pPr>
        <w:numPr>
          <w:ilvl w:val="2"/>
          <w:numId w:val="5"/>
        </w:numPr>
        <w:tabs>
          <w:tab w:val="clear" w:pos="1800"/>
          <w:tab w:val="num" w:pos="2160"/>
        </w:tabs>
        <w:ind w:left="2160"/>
      </w:pPr>
      <w:r>
        <w:t>Good Clinical Practice (</w:t>
      </w:r>
      <w:r w:rsidR="00B2761B">
        <w:t>GCP</w:t>
      </w:r>
      <w:r>
        <w:t>)</w:t>
      </w:r>
      <w:r w:rsidR="00B2761B">
        <w:t xml:space="preserve"> t</w:t>
      </w:r>
      <w:r w:rsidR="00820901">
        <w:t>raining and experience in clinical trials.</w:t>
      </w:r>
    </w:p>
    <w:p w:rsidR="00820901" w:rsidRDefault="0064646F" w:rsidP="00341005">
      <w:pPr>
        <w:numPr>
          <w:ilvl w:val="2"/>
          <w:numId w:val="5"/>
        </w:numPr>
        <w:tabs>
          <w:tab w:val="clear" w:pos="1800"/>
          <w:tab w:val="num" w:pos="2160"/>
        </w:tabs>
        <w:ind w:left="2160"/>
      </w:pPr>
      <w:r>
        <w:t>Certification as a principal i</w:t>
      </w:r>
      <w:r w:rsidR="00820901">
        <w:t>nvestigator.</w:t>
      </w:r>
    </w:p>
    <w:p w:rsidR="00820901" w:rsidRDefault="00B2761B" w:rsidP="00341005">
      <w:pPr>
        <w:numPr>
          <w:ilvl w:val="2"/>
          <w:numId w:val="5"/>
        </w:numPr>
        <w:tabs>
          <w:tab w:val="clear" w:pos="1800"/>
          <w:tab w:val="num" w:pos="2160"/>
        </w:tabs>
        <w:ind w:left="2160"/>
      </w:pPr>
      <w:r>
        <w:t>Prior r</w:t>
      </w:r>
      <w:r w:rsidR="00820901">
        <w:t xml:space="preserve">egulatory </w:t>
      </w:r>
      <w:r>
        <w:t>a</w:t>
      </w:r>
      <w:r w:rsidR="00820901">
        <w:t>udit(s) history.</w:t>
      </w:r>
    </w:p>
    <w:p w:rsidR="00820901" w:rsidRDefault="00820901" w:rsidP="00341005">
      <w:pPr>
        <w:numPr>
          <w:ilvl w:val="2"/>
          <w:numId w:val="5"/>
        </w:numPr>
        <w:tabs>
          <w:tab w:val="clear" w:pos="1800"/>
          <w:tab w:val="num" w:pos="2160"/>
        </w:tabs>
        <w:ind w:left="2160"/>
      </w:pPr>
      <w:r>
        <w:t>Not being listed on the restricted / debarment list with FDA.</w:t>
      </w:r>
    </w:p>
    <w:p w:rsidR="00820901" w:rsidRDefault="00820901" w:rsidP="00341005">
      <w:pPr>
        <w:numPr>
          <w:ilvl w:val="2"/>
          <w:numId w:val="5"/>
        </w:numPr>
        <w:tabs>
          <w:tab w:val="clear" w:pos="1800"/>
          <w:tab w:val="num" w:pos="2160"/>
        </w:tabs>
        <w:ind w:left="2160"/>
      </w:pPr>
      <w:r>
        <w:t xml:space="preserve">Prior history of conducting trials with &lt;name of </w:t>
      </w:r>
      <w:r w:rsidR="000C75DF">
        <w:t>Sponsor/Investigator</w:t>
      </w:r>
      <w:r>
        <w:t>&gt;</w:t>
      </w:r>
      <w:r w:rsidR="00A73065">
        <w:t>.</w:t>
      </w:r>
    </w:p>
    <w:p w:rsidR="00820901" w:rsidRDefault="00820901" w:rsidP="00341005">
      <w:pPr>
        <w:numPr>
          <w:ilvl w:val="2"/>
          <w:numId w:val="5"/>
        </w:numPr>
        <w:tabs>
          <w:tab w:val="clear" w:pos="1800"/>
          <w:tab w:val="num" w:pos="2160"/>
        </w:tabs>
        <w:ind w:left="2160"/>
      </w:pPr>
      <w:r>
        <w:t xml:space="preserve">Resources, time and staff to participate in and assume full responsibility for the conduct of the study. </w:t>
      </w:r>
    </w:p>
    <w:p w:rsidR="00820901" w:rsidRDefault="00C22492" w:rsidP="00341005">
      <w:pPr>
        <w:numPr>
          <w:ilvl w:val="2"/>
          <w:numId w:val="5"/>
        </w:numPr>
        <w:tabs>
          <w:tab w:val="clear" w:pos="1800"/>
          <w:tab w:val="num" w:pos="2160"/>
        </w:tabs>
        <w:ind w:left="2160"/>
      </w:pPr>
      <w:r>
        <w:t>Knowledge of Good Clinical Practice.</w:t>
      </w:r>
    </w:p>
    <w:p w:rsidR="00C22492" w:rsidRDefault="00C22492" w:rsidP="00341005">
      <w:pPr>
        <w:numPr>
          <w:ilvl w:val="2"/>
          <w:numId w:val="5"/>
        </w:numPr>
        <w:tabs>
          <w:tab w:val="clear" w:pos="1800"/>
          <w:tab w:val="num" w:pos="2160"/>
        </w:tabs>
        <w:ind w:left="2160"/>
      </w:pPr>
      <w:r>
        <w:t>Review of site SOP manual.</w:t>
      </w:r>
    </w:p>
    <w:p w:rsidR="00820901" w:rsidRDefault="001A69FE" w:rsidP="00341005">
      <w:pPr>
        <w:numPr>
          <w:ilvl w:val="2"/>
          <w:numId w:val="5"/>
        </w:numPr>
        <w:tabs>
          <w:tab w:val="clear" w:pos="1800"/>
          <w:tab w:val="num" w:pos="2160"/>
        </w:tabs>
        <w:ind w:left="2160"/>
      </w:pPr>
      <w:r>
        <w:t>Facilities and equipment:</w:t>
      </w:r>
    </w:p>
    <w:p w:rsidR="00C22492" w:rsidRDefault="00C22492" w:rsidP="00341005">
      <w:pPr>
        <w:tabs>
          <w:tab w:val="left" w:pos="2520"/>
        </w:tabs>
        <w:ind w:left="2520" w:hanging="360"/>
      </w:pPr>
      <w:r>
        <w:t>i.</w:t>
      </w:r>
      <w:r>
        <w:tab/>
      </w:r>
      <w:r w:rsidR="00820901">
        <w:t>Protocol required testing equipment and associated manuals, records of maintenance, calibration / validation.</w:t>
      </w:r>
    </w:p>
    <w:p w:rsidR="00820901" w:rsidRDefault="00341005" w:rsidP="00341005">
      <w:pPr>
        <w:tabs>
          <w:tab w:val="left" w:pos="2160"/>
          <w:tab w:val="left" w:pos="2520"/>
        </w:tabs>
        <w:ind w:left="2520" w:hanging="540"/>
      </w:pPr>
      <w:r>
        <w:tab/>
      </w:r>
      <w:r w:rsidR="00C22492">
        <w:t>ii.</w:t>
      </w:r>
      <w:r>
        <w:tab/>
      </w:r>
      <w:r w:rsidR="00820901">
        <w:t>Suitable storage (locked, restric</w:t>
      </w:r>
      <w:r w:rsidR="00C22492">
        <w:t>ted access) for test article(s).</w:t>
      </w:r>
    </w:p>
    <w:p w:rsidR="00C22492" w:rsidRDefault="00341005" w:rsidP="00341005">
      <w:pPr>
        <w:tabs>
          <w:tab w:val="left" w:pos="2160"/>
          <w:tab w:val="left" w:pos="2520"/>
        </w:tabs>
        <w:ind w:left="2520" w:hanging="540"/>
      </w:pPr>
      <w:r>
        <w:tab/>
      </w:r>
      <w:r w:rsidR="00C22492">
        <w:t>iii.</w:t>
      </w:r>
      <w:r w:rsidR="00C22492">
        <w:tab/>
      </w:r>
      <w:r w:rsidR="00820901">
        <w:t>Proximity to investigators</w:t>
      </w:r>
      <w:r w:rsidR="00C22492">
        <w:t>.</w:t>
      </w:r>
    </w:p>
    <w:p w:rsidR="00C22492" w:rsidRDefault="00C22492" w:rsidP="00341005">
      <w:pPr>
        <w:tabs>
          <w:tab w:val="left" w:pos="2520"/>
          <w:tab w:val="num" w:pos="5040"/>
        </w:tabs>
        <w:ind w:left="2520" w:hanging="360"/>
      </w:pPr>
      <w:r>
        <w:lastRenderedPageBreak/>
        <w:t>iv.</w:t>
      </w:r>
      <w:r>
        <w:tab/>
      </w:r>
      <w:r w:rsidR="00820901">
        <w:t>Suitable laboratory equipment and storage areas as necess</w:t>
      </w:r>
      <w:r w:rsidR="001A69FE">
        <w:t xml:space="preserve">ary for protocol requirements. </w:t>
      </w:r>
      <w:r w:rsidR="00820901">
        <w:t>All appropriate licenses, CLIA, CAP</w:t>
      </w:r>
      <w:r>
        <w:t>, current</w:t>
      </w:r>
      <w:r w:rsidR="00820901">
        <w:t xml:space="preserve"> normal values </w:t>
      </w:r>
      <w:r>
        <w:t>and all forms submitted</w:t>
      </w:r>
      <w:r w:rsidR="00820901">
        <w:t xml:space="preserve"> to </w:t>
      </w:r>
      <w:r w:rsidR="000C75DF">
        <w:t>Sponsor/Investigator</w:t>
      </w:r>
      <w:r w:rsidR="00820901">
        <w:t>.</w:t>
      </w:r>
    </w:p>
    <w:p w:rsidR="00085604" w:rsidRDefault="00C22492" w:rsidP="00341005">
      <w:pPr>
        <w:tabs>
          <w:tab w:val="left" w:pos="2520"/>
          <w:tab w:val="num" w:pos="5040"/>
        </w:tabs>
        <w:ind w:left="2520" w:hanging="360"/>
      </w:pPr>
      <w:r>
        <w:t>v.</w:t>
      </w:r>
      <w:r>
        <w:tab/>
      </w:r>
      <w:r w:rsidR="00820901">
        <w:t>Trained personnel necessary to complete protocol required tests</w:t>
      </w:r>
      <w:r>
        <w:t>.</w:t>
      </w:r>
    </w:p>
    <w:p w:rsidR="00085604" w:rsidRDefault="00C22492" w:rsidP="00341005">
      <w:pPr>
        <w:tabs>
          <w:tab w:val="left" w:pos="2520"/>
          <w:tab w:val="num" w:pos="5040"/>
        </w:tabs>
        <w:ind w:left="2520" w:hanging="360"/>
      </w:pPr>
      <w:r>
        <w:t>vi.</w:t>
      </w:r>
      <w:r>
        <w:tab/>
      </w:r>
      <w:r w:rsidR="00820901">
        <w:t>Adequate space / exam rooms for subject visits.</w:t>
      </w:r>
    </w:p>
    <w:p w:rsidR="00085604" w:rsidRDefault="001A69FE" w:rsidP="00341005">
      <w:pPr>
        <w:tabs>
          <w:tab w:val="left" w:pos="2160"/>
          <w:tab w:val="num" w:pos="2520"/>
          <w:tab w:val="num" w:pos="5040"/>
        </w:tabs>
        <w:ind w:left="2160" w:hanging="360"/>
      </w:pPr>
      <w:r>
        <w:t>k.</w:t>
      </w:r>
      <w:r w:rsidR="00085604">
        <w:tab/>
      </w:r>
      <w:r w:rsidR="00820901">
        <w:t>Access to an adequate number of potential subjects eligible for enrollment in the study.</w:t>
      </w:r>
    </w:p>
    <w:p w:rsidR="00C43F3E" w:rsidRDefault="00085604" w:rsidP="00C43F3E">
      <w:pPr>
        <w:tabs>
          <w:tab w:val="left" w:pos="2160"/>
          <w:tab w:val="num" w:pos="2520"/>
          <w:tab w:val="num" w:pos="5040"/>
        </w:tabs>
        <w:ind w:left="2160" w:hanging="360"/>
      </w:pPr>
      <w:r>
        <w:t>l.</w:t>
      </w:r>
      <w:r>
        <w:tab/>
      </w:r>
      <w:r w:rsidR="00820901">
        <w:t>Ability to work with an IRB that functions in compliance with all applicable regulations.</w:t>
      </w:r>
    </w:p>
    <w:p w:rsidR="00C43F3E" w:rsidRDefault="00085604" w:rsidP="00C43F3E">
      <w:pPr>
        <w:tabs>
          <w:tab w:val="left" w:pos="2160"/>
          <w:tab w:val="num" w:pos="2520"/>
          <w:tab w:val="num" w:pos="5040"/>
        </w:tabs>
        <w:ind w:left="2160" w:hanging="360"/>
      </w:pPr>
      <w:r>
        <w:t>m.</w:t>
      </w:r>
      <w:r>
        <w:tab/>
      </w:r>
      <w:r w:rsidR="00820901">
        <w:t xml:space="preserve">Regulatory audit (FDA or HHS) </w:t>
      </w:r>
      <w:r w:rsidR="00C43F3E">
        <w:t>history of the reviewing IRB / a</w:t>
      </w:r>
      <w:r w:rsidR="00820901">
        <w:t>ccreditation status of the reviewing IRB.</w:t>
      </w:r>
    </w:p>
    <w:p w:rsidR="00C43F3E" w:rsidRDefault="00C43F3E" w:rsidP="00C43F3E">
      <w:pPr>
        <w:tabs>
          <w:tab w:val="left" w:pos="2160"/>
          <w:tab w:val="num" w:pos="2520"/>
          <w:tab w:val="num" w:pos="5040"/>
        </w:tabs>
        <w:ind w:left="2160" w:hanging="360"/>
      </w:pPr>
      <w:r>
        <w:t>n</w:t>
      </w:r>
      <w:r w:rsidR="00085604">
        <w:t>.</w:t>
      </w:r>
      <w:r w:rsidR="00085604">
        <w:tab/>
      </w:r>
      <w:r w:rsidR="00C22492">
        <w:t>No or limited number of</w:t>
      </w:r>
      <w:r w:rsidR="00820901">
        <w:t xml:space="preserve"> conflicting studies.</w:t>
      </w:r>
    </w:p>
    <w:p w:rsidR="00C43F3E" w:rsidRDefault="00C43F3E" w:rsidP="00C43F3E">
      <w:pPr>
        <w:tabs>
          <w:tab w:val="left" w:pos="2160"/>
          <w:tab w:val="num" w:pos="2520"/>
          <w:tab w:val="num" w:pos="5040"/>
        </w:tabs>
        <w:ind w:left="2160" w:hanging="360"/>
      </w:pPr>
      <w:r>
        <w:t>o</w:t>
      </w:r>
      <w:r w:rsidR="00085604">
        <w:t>.</w:t>
      </w:r>
      <w:r w:rsidR="00085604">
        <w:tab/>
      </w:r>
      <w:r w:rsidR="00820901">
        <w:t xml:space="preserve">Comprehension of and agreement to follow written approved protocol, regulatory and ethical requirements, monitoring and audit procedures and GCP. </w:t>
      </w:r>
    </w:p>
    <w:p w:rsidR="00C43F3E" w:rsidRDefault="00C43F3E" w:rsidP="00C43F3E">
      <w:pPr>
        <w:tabs>
          <w:tab w:val="left" w:pos="2160"/>
          <w:tab w:val="num" w:pos="2520"/>
          <w:tab w:val="num" w:pos="5040"/>
        </w:tabs>
        <w:ind w:left="2160" w:hanging="360"/>
      </w:pPr>
      <w:r>
        <w:t>p</w:t>
      </w:r>
      <w:r w:rsidR="00085604">
        <w:t>.</w:t>
      </w:r>
      <w:r w:rsidR="00085604">
        <w:tab/>
      </w:r>
      <w:r w:rsidR="00820901">
        <w:t>Documentation of all communications with potential investigators will be docu</w:t>
      </w:r>
      <w:r w:rsidR="0064646F">
        <w:t xml:space="preserve">mented and kept in the </w:t>
      </w:r>
      <w:r w:rsidR="000C75DF">
        <w:t>Sponsor/Investigator</w:t>
      </w:r>
      <w:r w:rsidR="0064646F">
        <w:t xml:space="preserve"> s</w:t>
      </w:r>
      <w:r w:rsidR="00820901">
        <w:t>tudy</w:t>
      </w:r>
      <w:r w:rsidR="0064646F">
        <w:t xml:space="preserve"> f</w:t>
      </w:r>
      <w:r w:rsidR="00820901">
        <w:t xml:space="preserve">iles. </w:t>
      </w:r>
    </w:p>
    <w:p w:rsidR="00C43F3E" w:rsidRDefault="00C43F3E" w:rsidP="00C43F3E">
      <w:pPr>
        <w:tabs>
          <w:tab w:val="left" w:pos="2160"/>
          <w:tab w:val="num" w:pos="2520"/>
          <w:tab w:val="num" w:pos="5040"/>
        </w:tabs>
        <w:ind w:left="2160" w:hanging="360"/>
      </w:pPr>
      <w:r>
        <w:t>q</w:t>
      </w:r>
      <w:r w:rsidR="00085604">
        <w:t>.</w:t>
      </w:r>
      <w:r w:rsidR="00085604">
        <w:tab/>
      </w:r>
      <w:r w:rsidR="00A73065">
        <w:t>Selection of i</w:t>
      </w:r>
      <w:r w:rsidR="00820901">
        <w:t xml:space="preserve">nvestigators will be based on information gathered concerning </w:t>
      </w:r>
      <w:r w:rsidR="0010461D">
        <w:t>pre</w:t>
      </w:r>
      <w:r w:rsidR="00A73065">
        <w:t>qualification assessments. Sign off on i</w:t>
      </w:r>
      <w:r w:rsidR="00B2761B">
        <w:t xml:space="preserve">nvestigator </w:t>
      </w:r>
      <w:r w:rsidR="00A73065">
        <w:t>q</w:t>
      </w:r>
      <w:r w:rsidR="00B2761B">
        <w:t>u</w:t>
      </w:r>
      <w:r w:rsidR="00820901">
        <w:t>alification will be done by &lt;insert title&gt;.</w:t>
      </w:r>
    </w:p>
    <w:p w:rsidR="00C43F3E" w:rsidRDefault="00C43F3E" w:rsidP="00C43F3E">
      <w:pPr>
        <w:tabs>
          <w:tab w:val="left" w:pos="2160"/>
          <w:tab w:val="num" w:pos="2520"/>
          <w:tab w:val="num" w:pos="5040"/>
        </w:tabs>
        <w:ind w:left="2160" w:hanging="360"/>
      </w:pPr>
      <w:r>
        <w:t>r</w:t>
      </w:r>
      <w:r w:rsidR="00085604">
        <w:t>.</w:t>
      </w:r>
      <w:r w:rsidR="00085604">
        <w:tab/>
      </w:r>
      <w:r w:rsidR="00820901">
        <w:t xml:space="preserve">All potential investigators must sign a </w:t>
      </w:r>
      <w:r w:rsidR="0064646F">
        <w:t>n</w:t>
      </w:r>
      <w:r w:rsidR="00820901">
        <w:t>on-</w:t>
      </w:r>
      <w:r w:rsidR="0064646F">
        <w:t>d</w:t>
      </w:r>
      <w:r w:rsidR="00820901">
        <w:t xml:space="preserve">isclosure </w:t>
      </w:r>
      <w:r w:rsidR="0064646F">
        <w:t>a</w:t>
      </w:r>
      <w:r w:rsidR="00820901">
        <w:t xml:space="preserve">greement prior to receiving any protocol summaries, protocol, </w:t>
      </w:r>
      <w:r w:rsidR="001A69FE">
        <w:t>budget or contract templates</w:t>
      </w:r>
      <w:r w:rsidR="00E27B13">
        <w:t xml:space="preserve">. </w:t>
      </w:r>
      <w:r w:rsidR="00A73065">
        <w:t>Tw</w:t>
      </w:r>
      <w:r w:rsidR="00820901">
        <w:t xml:space="preserve">o original </w:t>
      </w:r>
      <w:r w:rsidR="0064646F">
        <w:t>n</w:t>
      </w:r>
      <w:r w:rsidR="00820901">
        <w:t>on-disclosur</w:t>
      </w:r>
      <w:r w:rsidR="00A73065">
        <w:t xml:space="preserve">e </w:t>
      </w:r>
      <w:r w:rsidR="0064646F">
        <w:t>a</w:t>
      </w:r>
      <w:r w:rsidR="00A73065">
        <w:t xml:space="preserve">greements will be obtained. </w:t>
      </w:r>
      <w:r w:rsidR="00820901">
        <w:t>One fully executed origina</w:t>
      </w:r>
      <w:r w:rsidR="0064646F">
        <w:t xml:space="preserve">l will be filed in the </w:t>
      </w:r>
      <w:r w:rsidR="000C75DF">
        <w:t>Sponsor/Investigator</w:t>
      </w:r>
      <w:r w:rsidR="0064646F">
        <w:t xml:space="preserve"> study f</w:t>
      </w:r>
      <w:r w:rsidR="00820901">
        <w:t xml:space="preserve">iles and one will be </w:t>
      </w:r>
      <w:r w:rsidR="00A73065">
        <w:t>retained by the i</w:t>
      </w:r>
      <w:r w:rsidR="00085604">
        <w:t>nvestigator.</w:t>
      </w:r>
    </w:p>
    <w:p w:rsidR="00085604" w:rsidRDefault="00C43F3E" w:rsidP="00C43F3E">
      <w:pPr>
        <w:tabs>
          <w:tab w:val="left" w:pos="2160"/>
          <w:tab w:val="num" w:pos="2520"/>
          <w:tab w:val="num" w:pos="5040"/>
        </w:tabs>
        <w:ind w:left="2160" w:hanging="360"/>
      </w:pPr>
      <w:r>
        <w:t>s</w:t>
      </w:r>
      <w:r w:rsidR="00341005">
        <w:t>.</w:t>
      </w:r>
      <w:r w:rsidR="00341005">
        <w:tab/>
      </w:r>
      <w:r w:rsidR="00820901">
        <w:t xml:space="preserve">Once &lt;name of </w:t>
      </w:r>
      <w:r w:rsidR="000C75DF">
        <w:t>Sponsor/Investigator</w:t>
      </w:r>
      <w:r w:rsidR="00820901">
        <w:t>&gt; has selected a potential investigator, a site qualification monit</w:t>
      </w:r>
      <w:r w:rsidR="00085604">
        <w:t xml:space="preserve">oring visit will be scheduled. </w:t>
      </w:r>
      <w:r w:rsidR="00820901">
        <w:t xml:space="preserve">This visit may be done in conjunction with a site initiation visit if the </w:t>
      </w:r>
      <w:r w:rsidR="000C75DF">
        <w:t>Sponsor/Investigator</w:t>
      </w:r>
      <w:r w:rsidR="00820901">
        <w:t xml:space="preserve"> has prior experience with the site.  </w:t>
      </w:r>
    </w:p>
    <w:sectPr w:rsidR="00085604" w:rsidSect="0029108D">
      <w:head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B38" w:rsidRDefault="002C5B38">
      <w:r>
        <w:separator/>
      </w:r>
    </w:p>
  </w:endnote>
  <w:endnote w:type="continuationSeparator" w:id="0">
    <w:p w:rsidR="002C5B38" w:rsidRDefault="002C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B38" w:rsidRDefault="002C5B38">
      <w:r>
        <w:separator/>
      </w:r>
    </w:p>
  </w:footnote>
  <w:footnote w:type="continuationSeparator" w:id="0">
    <w:p w:rsidR="002C5B38" w:rsidRDefault="002C5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itle table"/>
    </w:tblPr>
    <w:tblGrid>
      <w:gridCol w:w="5845"/>
      <w:gridCol w:w="3960"/>
    </w:tblGrid>
    <w:tr w:rsidR="0007123D" w:rsidTr="006923E2">
      <w:trPr>
        <w:tblHeader/>
      </w:trPr>
      <w:tc>
        <w:tcPr>
          <w:tcW w:w="5845" w:type="dxa"/>
          <w:tcBorders>
            <w:right w:val="single" w:sz="4" w:space="0" w:color="auto"/>
          </w:tcBorders>
        </w:tcPr>
        <w:p w:rsidR="0007123D" w:rsidRPr="004772A6" w:rsidRDefault="0007123D" w:rsidP="0007123D">
          <w:pPr>
            <w:pStyle w:val="Header"/>
            <w:rPr>
              <w:rFonts w:ascii="Arial" w:hAnsi="Arial" w:cs="Arial"/>
              <w:sz w:val="20"/>
              <w:szCs w:val="20"/>
            </w:rPr>
          </w:pPr>
          <w:r w:rsidRPr="004772A6">
            <w:rPr>
              <w:rFonts w:ascii="Arial" w:hAnsi="Arial" w:cs="Arial"/>
              <w:sz w:val="20"/>
              <w:szCs w:val="20"/>
            </w:rPr>
            <w:t xml:space="preserve">TEMPLATE FOR CLINICAL RESEARCH </w:t>
          </w:r>
        </w:p>
        <w:p w:rsidR="0007123D" w:rsidRPr="00B64455" w:rsidRDefault="0007123D" w:rsidP="0007123D">
          <w:pPr>
            <w:pStyle w:val="Header"/>
            <w:rPr>
              <w:rFonts w:ascii="Arial" w:hAnsi="Arial" w:cs="Arial"/>
              <w:b/>
              <w:noProof/>
              <w:sz w:val="20"/>
              <w:szCs w:val="20"/>
              <w:u w:val="single"/>
            </w:rPr>
          </w:pPr>
          <w:r w:rsidRPr="00B64455">
            <w:rPr>
              <w:rFonts w:ascii="Arial" w:hAnsi="Arial" w:cs="Arial"/>
              <w:b/>
              <w:noProof/>
              <w:sz w:val="20"/>
              <w:szCs w:val="20"/>
              <w:u w:val="single"/>
            </w:rPr>
            <w:t>Sponsor-Investiagtor to adopt for use as applicable</w:t>
          </w:r>
        </w:p>
        <w:p w:rsidR="0007123D" w:rsidRDefault="0007123D" w:rsidP="0007123D">
          <w:pPr>
            <w:pStyle w:val="Header"/>
          </w:pPr>
          <w:r>
            <w:rPr>
              <w:rFonts w:ascii="Arial" w:hAnsi="Arial" w:cs="Arial"/>
              <w:i/>
              <w:noProof/>
              <w:sz w:val="20"/>
              <w:szCs w:val="20"/>
            </w:rPr>
            <w:t>See Policy VI.01</w:t>
          </w:r>
        </w:p>
        <w:p w:rsidR="0007123D" w:rsidRDefault="0007123D" w:rsidP="0007123D">
          <w:pPr>
            <w:pStyle w:val="Heade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07123D" w:rsidRPr="00C27F0E" w:rsidRDefault="0007123D" w:rsidP="0007123D">
          <w:pPr>
            <w:spacing w:after="60"/>
            <w:rPr>
              <w:b/>
              <w:sz w:val="20"/>
              <w:szCs w:val="20"/>
              <w:u w:val="single"/>
            </w:rPr>
          </w:pPr>
          <w:r>
            <w:rPr>
              <w:b/>
              <w:sz w:val="20"/>
              <w:szCs w:val="20"/>
              <w:u w:val="single"/>
            </w:rPr>
            <w:t>Standard Operating Procedure ADM 003</w:t>
          </w:r>
        </w:p>
        <w:p w:rsidR="0007123D" w:rsidRPr="00C27F0E" w:rsidRDefault="0007123D" w:rsidP="0007123D">
          <w:pPr>
            <w:spacing w:after="60"/>
            <w:rPr>
              <w:b/>
              <w:sz w:val="20"/>
              <w:szCs w:val="20"/>
            </w:rPr>
          </w:pPr>
          <w:r>
            <w:rPr>
              <w:b/>
              <w:sz w:val="20"/>
              <w:szCs w:val="20"/>
            </w:rPr>
            <w:t>Pre Study Site/Investigator Qualification</w:t>
          </w:r>
        </w:p>
        <w:p w:rsidR="0007123D" w:rsidRPr="00C27F0E" w:rsidRDefault="0007123D" w:rsidP="0007123D">
          <w:pPr>
            <w:spacing w:after="60"/>
            <w:rPr>
              <w:b/>
              <w:sz w:val="20"/>
              <w:szCs w:val="20"/>
            </w:rPr>
          </w:pPr>
          <w:r w:rsidRPr="00C27F0E">
            <w:rPr>
              <w:b/>
              <w:sz w:val="20"/>
              <w:szCs w:val="20"/>
            </w:rPr>
            <w:t xml:space="preserve">Adopted:  </w:t>
          </w:r>
          <w:r>
            <w:rPr>
              <w:b/>
              <w:sz w:val="20"/>
              <w:szCs w:val="20"/>
            </w:rPr>
            <w:tab/>
          </w:r>
          <w:r w:rsidRPr="00C27F0E">
            <w:rPr>
              <w:b/>
              <w:sz w:val="20"/>
              <w:szCs w:val="20"/>
            </w:rPr>
            <w:t>Rev</w:t>
          </w:r>
          <w:r>
            <w:rPr>
              <w:b/>
              <w:sz w:val="20"/>
              <w:szCs w:val="20"/>
            </w:rPr>
            <w:t>.</w:t>
          </w:r>
          <w:r w:rsidRPr="00C27F0E">
            <w:rPr>
              <w:b/>
              <w:sz w:val="20"/>
              <w:szCs w:val="20"/>
            </w:rPr>
            <w:t xml:space="preserve"> Date:  </w:t>
          </w:r>
        </w:p>
        <w:p w:rsidR="0007123D" w:rsidRPr="00A904D3" w:rsidRDefault="0007123D" w:rsidP="0007123D">
          <w:pPr>
            <w:spacing w:after="60"/>
            <w:rPr>
              <w:b/>
              <w:sz w:val="20"/>
              <w:szCs w:val="20"/>
            </w:rPr>
          </w:pPr>
          <w:r>
            <w:rPr>
              <w:b/>
              <w:sz w:val="20"/>
              <w:szCs w:val="20"/>
            </w:rPr>
            <w:t>Rev. No.</w:t>
          </w:r>
          <w:r>
            <w:rPr>
              <w:b/>
              <w:sz w:val="20"/>
              <w:szCs w:val="20"/>
            </w:rPr>
            <w:tab/>
          </w:r>
          <w:r w:rsidRPr="007F65BF">
            <w:rPr>
              <w:b/>
              <w:sz w:val="20"/>
              <w:szCs w:val="20"/>
            </w:rPr>
            <w:t xml:space="preserve">Page </w:t>
          </w:r>
          <w:r w:rsidRPr="007F65BF">
            <w:rPr>
              <w:b/>
              <w:sz w:val="20"/>
              <w:szCs w:val="20"/>
            </w:rPr>
            <w:fldChar w:fldCharType="begin"/>
          </w:r>
          <w:r w:rsidRPr="007F65BF">
            <w:rPr>
              <w:b/>
              <w:sz w:val="20"/>
              <w:szCs w:val="20"/>
            </w:rPr>
            <w:instrText xml:space="preserve"> PAGE </w:instrText>
          </w:r>
          <w:r w:rsidRPr="007F65BF">
            <w:rPr>
              <w:b/>
              <w:sz w:val="20"/>
              <w:szCs w:val="20"/>
            </w:rPr>
            <w:fldChar w:fldCharType="separate"/>
          </w:r>
          <w:r w:rsidR="000C2069">
            <w:rPr>
              <w:b/>
              <w:noProof/>
              <w:sz w:val="20"/>
              <w:szCs w:val="20"/>
            </w:rPr>
            <w:t>3</w:t>
          </w:r>
          <w:r w:rsidRPr="007F65BF">
            <w:rPr>
              <w:b/>
              <w:sz w:val="20"/>
              <w:szCs w:val="20"/>
            </w:rPr>
            <w:fldChar w:fldCharType="end"/>
          </w:r>
          <w:r w:rsidRPr="007F65BF">
            <w:rPr>
              <w:b/>
              <w:sz w:val="20"/>
              <w:szCs w:val="20"/>
            </w:rPr>
            <w:t xml:space="preserve"> of </w:t>
          </w:r>
          <w:r w:rsidRPr="007F65BF">
            <w:rPr>
              <w:b/>
              <w:sz w:val="20"/>
              <w:szCs w:val="20"/>
            </w:rPr>
            <w:fldChar w:fldCharType="begin"/>
          </w:r>
          <w:r w:rsidRPr="007F65BF">
            <w:rPr>
              <w:b/>
              <w:sz w:val="20"/>
              <w:szCs w:val="20"/>
            </w:rPr>
            <w:instrText xml:space="preserve"> NUMPAGES </w:instrText>
          </w:r>
          <w:r w:rsidRPr="007F65BF">
            <w:rPr>
              <w:b/>
              <w:sz w:val="20"/>
              <w:szCs w:val="20"/>
            </w:rPr>
            <w:fldChar w:fldCharType="separate"/>
          </w:r>
          <w:r w:rsidR="000C2069">
            <w:rPr>
              <w:b/>
              <w:noProof/>
              <w:sz w:val="20"/>
              <w:szCs w:val="20"/>
            </w:rPr>
            <w:t>3</w:t>
          </w:r>
          <w:r w:rsidRPr="007F65BF">
            <w:rPr>
              <w:b/>
              <w:sz w:val="20"/>
              <w:szCs w:val="20"/>
            </w:rPr>
            <w:fldChar w:fldCharType="end"/>
          </w:r>
        </w:p>
        <w:p w:rsidR="0007123D" w:rsidRDefault="0007123D" w:rsidP="0007123D">
          <w:pPr>
            <w:pStyle w:val="Header"/>
            <w:rPr>
              <w:rFonts w:ascii="Arial" w:hAnsi="Arial" w:cs="Arial"/>
              <w:sz w:val="20"/>
              <w:szCs w:val="20"/>
            </w:rPr>
          </w:pPr>
        </w:p>
      </w:tc>
    </w:tr>
  </w:tbl>
  <w:p w:rsidR="0007123D" w:rsidRDefault="0007123D" w:rsidP="00F44E15">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30DD2"/>
    <w:multiLevelType w:val="multilevel"/>
    <w:tmpl w:val="0C543D4E"/>
    <w:lvl w:ilvl="0">
      <w:start w:val="5"/>
      <w:numFmt w:val="upperRoman"/>
      <w:lvlText w:val="%1. "/>
      <w:lvlJc w:val="left"/>
      <w:pPr>
        <w:tabs>
          <w:tab w:val="num" w:pos="720"/>
        </w:tabs>
        <w:ind w:left="720" w:hanging="720"/>
      </w:pPr>
      <w:rPr>
        <w:rFonts w:ascii="Times New Roman" w:hAnsi="Times New Roman" w:hint="default"/>
        <w:b w:val="0"/>
        <w:i w:val="0"/>
        <w:sz w:val="24"/>
        <w:u w:val="none"/>
      </w:rPr>
    </w:lvl>
    <w:lvl w:ilvl="1">
      <w:start w:val="1"/>
      <w:numFmt w:val="decimal"/>
      <w:lvlText w:val="%2."/>
      <w:lvlJc w:val="left"/>
      <w:pPr>
        <w:tabs>
          <w:tab w:val="num" w:pos="1440"/>
        </w:tabs>
        <w:ind w:left="1440" w:hanging="72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lowerRoman"/>
      <w:lvlText w:val="%5."/>
      <w:lvlJc w:val="right"/>
      <w:pPr>
        <w:tabs>
          <w:tab w:val="num" w:pos="2880"/>
        </w:tabs>
        <w:ind w:left="2880" w:hanging="360"/>
      </w:pPr>
      <w:rPr>
        <w:rFonts w:hint="default"/>
        <w:b w:val="0"/>
        <w:i w:val="0"/>
        <w:sz w:val="24"/>
        <w:u w:val="none"/>
      </w:rPr>
    </w:lvl>
    <w:lvl w:ilvl="5">
      <w:start w:val="1"/>
      <w:numFmt w:val="upperLetter"/>
      <w:lvlText w:val="%6)."/>
      <w:lvlJc w:val="right"/>
      <w:pPr>
        <w:tabs>
          <w:tab w:val="num" w:pos="5040"/>
        </w:tabs>
        <w:ind w:left="5040" w:hanging="72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 w15:restartNumberingAfterBreak="0">
    <w:nsid w:val="3A6212D4"/>
    <w:multiLevelType w:val="multilevel"/>
    <w:tmpl w:val="98545BF6"/>
    <w:lvl w:ilvl="0">
      <w:start w:val="5"/>
      <w:numFmt w:val="upperRoman"/>
      <w:lvlText w:val="%1. "/>
      <w:lvlJc w:val="left"/>
      <w:pPr>
        <w:tabs>
          <w:tab w:val="num" w:pos="720"/>
        </w:tabs>
        <w:ind w:left="720" w:hanging="720"/>
      </w:pPr>
      <w:rPr>
        <w:rFonts w:ascii="Times New Roman" w:hAnsi="Times New Roman" w:hint="default"/>
        <w:b w:val="0"/>
        <w:i w:val="0"/>
        <w:sz w:val="24"/>
        <w:u w:val="none"/>
      </w:rPr>
    </w:lvl>
    <w:lvl w:ilvl="1">
      <w:start w:val="1"/>
      <w:numFmt w:val="decimal"/>
      <w:lvlText w:val="%2."/>
      <w:lvlJc w:val="left"/>
      <w:pPr>
        <w:tabs>
          <w:tab w:val="num" w:pos="1440"/>
        </w:tabs>
        <w:ind w:left="1440" w:hanging="72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880"/>
        </w:tabs>
        <w:ind w:left="2880" w:hanging="360"/>
      </w:pPr>
      <w:rPr>
        <w:rFonts w:hint="default"/>
      </w:rPr>
    </w:lvl>
    <w:lvl w:ilvl="5">
      <w:start w:val="1"/>
      <w:numFmt w:val="upperLetter"/>
      <w:lvlText w:val="%6)."/>
      <w:lvlJc w:val="right"/>
      <w:pPr>
        <w:tabs>
          <w:tab w:val="num" w:pos="5040"/>
        </w:tabs>
        <w:ind w:left="5040" w:hanging="72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2" w15:restartNumberingAfterBreak="0">
    <w:nsid w:val="53E23C03"/>
    <w:multiLevelType w:val="hybridMultilevel"/>
    <w:tmpl w:val="EAEE528E"/>
    <w:lvl w:ilvl="0" w:tplc="81B4492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61C40AD"/>
    <w:multiLevelType w:val="multilevel"/>
    <w:tmpl w:val="0C543D4E"/>
    <w:lvl w:ilvl="0">
      <w:start w:val="5"/>
      <w:numFmt w:val="upperRoman"/>
      <w:lvlText w:val="%1. "/>
      <w:lvlJc w:val="left"/>
      <w:pPr>
        <w:tabs>
          <w:tab w:val="num" w:pos="720"/>
        </w:tabs>
        <w:ind w:left="720" w:hanging="720"/>
      </w:pPr>
      <w:rPr>
        <w:rFonts w:ascii="Times New Roman" w:hAnsi="Times New Roman" w:hint="default"/>
        <w:b w:val="0"/>
        <w:i w:val="0"/>
        <w:sz w:val="24"/>
        <w:u w:val="none"/>
      </w:rPr>
    </w:lvl>
    <w:lvl w:ilvl="1">
      <w:start w:val="1"/>
      <w:numFmt w:val="decimal"/>
      <w:lvlText w:val="%2."/>
      <w:lvlJc w:val="left"/>
      <w:pPr>
        <w:tabs>
          <w:tab w:val="num" w:pos="1440"/>
        </w:tabs>
        <w:ind w:left="1440" w:hanging="72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lowerRoman"/>
      <w:lvlText w:val="%5."/>
      <w:lvlJc w:val="right"/>
      <w:pPr>
        <w:tabs>
          <w:tab w:val="num" w:pos="2880"/>
        </w:tabs>
        <w:ind w:left="2880" w:hanging="360"/>
      </w:pPr>
      <w:rPr>
        <w:rFonts w:hint="default"/>
        <w:b w:val="0"/>
        <w:i w:val="0"/>
        <w:sz w:val="24"/>
        <w:u w:val="none"/>
      </w:rPr>
    </w:lvl>
    <w:lvl w:ilvl="5">
      <w:start w:val="1"/>
      <w:numFmt w:val="upperLetter"/>
      <w:lvlText w:val="%6)."/>
      <w:lvlJc w:val="right"/>
      <w:pPr>
        <w:tabs>
          <w:tab w:val="num" w:pos="5040"/>
        </w:tabs>
        <w:ind w:left="5040" w:hanging="72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4" w15:restartNumberingAfterBreak="0">
    <w:nsid w:val="61A846FA"/>
    <w:multiLevelType w:val="hybridMultilevel"/>
    <w:tmpl w:val="4094E4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2837FD6"/>
    <w:multiLevelType w:val="multilevel"/>
    <w:tmpl w:val="D224282E"/>
    <w:lvl w:ilvl="0">
      <w:start w:val="1"/>
      <w:numFmt w:val="upperRoman"/>
      <w:lvlText w:val="%1. "/>
      <w:lvlJc w:val="left"/>
      <w:pPr>
        <w:tabs>
          <w:tab w:val="num" w:pos="1440"/>
        </w:tabs>
        <w:ind w:left="1440" w:hanging="720"/>
      </w:pPr>
      <w:rPr>
        <w:rFonts w:ascii="Times New Roman" w:hAnsi="Times New Roman" w:hint="default"/>
        <w:b/>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2520"/>
        </w:tabs>
        <w:ind w:left="2520" w:hanging="360"/>
      </w:pPr>
      <w:rPr>
        <w:rFonts w:hint="default"/>
      </w:rPr>
    </w:lvl>
    <w:lvl w:ilvl="3">
      <w:start w:val="1"/>
      <w:numFmt w:val="lowerRoman"/>
      <w:lvlText w:val="%4."/>
      <w:lvlJc w:val="left"/>
      <w:pPr>
        <w:tabs>
          <w:tab w:val="num" w:pos="324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63DC40BE"/>
    <w:multiLevelType w:val="multilevel"/>
    <w:tmpl w:val="0194FBFE"/>
    <w:lvl w:ilvl="0">
      <w:start w:val="4"/>
      <w:numFmt w:val="upperRoman"/>
      <w:lvlText w:val="%1. "/>
      <w:lvlJc w:val="left"/>
      <w:pPr>
        <w:tabs>
          <w:tab w:val="num" w:pos="720"/>
        </w:tabs>
        <w:ind w:left="720" w:hanging="720"/>
      </w:pPr>
      <w:rPr>
        <w:rFonts w:ascii="Times New Roman" w:hAnsi="Times New Roman" w:hint="default"/>
        <w:b w:val="0"/>
        <w:i w:val="0"/>
        <w:sz w:val="24"/>
        <w:u w:val="none"/>
      </w:rPr>
    </w:lvl>
    <w:lvl w:ilvl="1">
      <w:start w:val="1"/>
      <w:numFmt w:val="decimal"/>
      <w:lvlText w:val="%2."/>
      <w:lvlJc w:val="left"/>
      <w:pPr>
        <w:tabs>
          <w:tab w:val="num" w:pos="1440"/>
        </w:tabs>
        <w:ind w:left="1440" w:hanging="72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880"/>
        </w:tabs>
        <w:ind w:left="2880" w:hanging="360"/>
      </w:pPr>
      <w:rPr>
        <w:rFonts w:hint="default"/>
      </w:rPr>
    </w:lvl>
    <w:lvl w:ilvl="5">
      <w:start w:val="1"/>
      <w:numFmt w:val="upperLetter"/>
      <w:lvlText w:val="%6)."/>
      <w:lvlJc w:val="right"/>
      <w:pPr>
        <w:tabs>
          <w:tab w:val="num" w:pos="5040"/>
        </w:tabs>
        <w:ind w:left="5040" w:hanging="72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7" w15:restartNumberingAfterBreak="0">
    <w:nsid w:val="67D80B42"/>
    <w:multiLevelType w:val="multilevel"/>
    <w:tmpl w:val="071042E4"/>
    <w:lvl w:ilvl="0">
      <w:start w:val="1"/>
      <w:numFmt w:val="lowerRoman"/>
      <w:lvlText w:val="%1."/>
      <w:lvlJc w:val="righ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8" w15:restartNumberingAfterBreak="0">
    <w:nsid w:val="72697342"/>
    <w:multiLevelType w:val="hybridMultilevel"/>
    <w:tmpl w:val="4056ACF8"/>
    <w:lvl w:ilvl="0" w:tplc="0409001B">
      <w:start w:val="1"/>
      <w:numFmt w:val="lowerRoman"/>
      <w:lvlText w:val="%1."/>
      <w:lvlJc w:val="righ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4E6ACAC6">
      <w:start w:val="1"/>
      <w:numFmt w:val="bullet"/>
      <w:lvlText w:val=""/>
      <w:lvlJc w:val="left"/>
      <w:pPr>
        <w:tabs>
          <w:tab w:val="num" w:pos="5760"/>
        </w:tabs>
        <w:ind w:left="5760" w:hanging="360"/>
      </w:pPr>
      <w:rPr>
        <w:rFonts w:ascii="Symbol" w:hAnsi="Symbol" w:hint="default"/>
      </w:r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73D62D76"/>
    <w:multiLevelType w:val="multilevel"/>
    <w:tmpl w:val="0194FBFE"/>
    <w:lvl w:ilvl="0">
      <w:start w:val="4"/>
      <w:numFmt w:val="upperRoman"/>
      <w:lvlText w:val="%1. "/>
      <w:lvlJc w:val="left"/>
      <w:pPr>
        <w:tabs>
          <w:tab w:val="num" w:pos="720"/>
        </w:tabs>
        <w:ind w:left="720" w:hanging="720"/>
      </w:pPr>
      <w:rPr>
        <w:rFonts w:ascii="Times New Roman" w:hAnsi="Times New Roman" w:hint="default"/>
        <w:b w:val="0"/>
        <w:i w:val="0"/>
        <w:sz w:val="24"/>
        <w:u w:val="none"/>
      </w:rPr>
    </w:lvl>
    <w:lvl w:ilvl="1">
      <w:start w:val="1"/>
      <w:numFmt w:val="decimal"/>
      <w:lvlText w:val="%2."/>
      <w:lvlJc w:val="left"/>
      <w:pPr>
        <w:tabs>
          <w:tab w:val="num" w:pos="1440"/>
        </w:tabs>
        <w:ind w:left="1440" w:hanging="72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880"/>
        </w:tabs>
        <w:ind w:left="2880" w:hanging="360"/>
      </w:pPr>
      <w:rPr>
        <w:rFonts w:hint="default"/>
      </w:rPr>
    </w:lvl>
    <w:lvl w:ilvl="5">
      <w:start w:val="1"/>
      <w:numFmt w:val="upperLetter"/>
      <w:lvlText w:val="%6)."/>
      <w:lvlJc w:val="right"/>
      <w:pPr>
        <w:tabs>
          <w:tab w:val="num" w:pos="5040"/>
        </w:tabs>
        <w:ind w:left="5040" w:hanging="72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num w:numId="1">
    <w:abstractNumId w:val="5"/>
  </w:num>
  <w:num w:numId="2">
    <w:abstractNumId w:val="4"/>
  </w:num>
  <w:num w:numId="3">
    <w:abstractNumId w:val="6"/>
  </w:num>
  <w:num w:numId="4">
    <w:abstractNumId w:val="9"/>
  </w:num>
  <w:num w:numId="5">
    <w:abstractNumId w:val="0"/>
  </w:num>
  <w:num w:numId="6">
    <w:abstractNumId w:val="2"/>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4F"/>
    <w:rsid w:val="0007123D"/>
    <w:rsid w:val="00085604"/>
    <w:rsid w:val="000C2069"/>
    <w:rsid w:val="000C75DF"/>
    <w:rsid w:val="0010461D"/>
    <w:rsid w:val="0011152A"/>
    <w:rsid w:val="00171602"/>
    <w:rsid w:val="00173188"/>
    <w:rsid w:val="001A69FE"/>
    <w:rsid w:val="00207763"/>
    <w:rsid w:val="0029108D"/>
    <w:rsid w:val="002C5B38"/>
    <w:rsid w:val="002D0342"/>
    <w:rsid w:val="00341005"/>
    <w:rsid w:val="005C07B3"/>
    <w:rsid w:val="0064646F"/>
    <w:rsid w:val="00732455"/>
    <w:rsid w:val="00820901"/>
    <w:rsid w:val="008D45A5"/>
    <w:rsid w:val="008F78FB"/>
    <w:rsid w:val="00910CD8"/>
    <w:rsid w:val="00A73065"/>
    <w:rsid w:val="00B10D42"/>
    <w:rsid w:val="00B2761B"/>
    <w:rsid w:val="00BA094F"/>
    <w:rsid w:val="00C22492"/>
    <w:rsid w:val="00C33C60"/>
    <w:rsid w:val="00C41B71"/>
    <w:rsid w:val="00C43F3E"/>
    <w:rsid w:val="00C52633"/>
    <w:rsid w:val="00C548DE"/>
    <w:rsid w:val="00C56B3A"/>
    <w:rsid w:val="00C82F3A"/>
    <w:rsid w:val="00E27B13"/>
    <w:rsid w:val="00E85A11"/>
    <w:rsid w:val="00ED73FC"/>
    <w:rsid w:val="00F44E15"/>
    <w:rsid w:val="00FC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115F13B-4D1F-4B9A-A796-79CA1D1F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val="0"/>
    </w:pPr>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Indent">
    <w:name w:val="Body Text Indent"/>
    <w:basedOn w:val="Normal"/>
    <w:pPr>
      <w:ind w:left="540"/>
    </w:pPr>
  </w:style>
  <w:style w:type="paragraph" w:styleId="BodyTextIndent2">
    <w:name w:val="Body Text Indent 2"/>
    <w:basedOn w:val="Normal"/>
    <w:pPr>
      <w:ind w:left="1080"/>
    </w:pPr>
  </w:style>
  <w:style w:type="character" w:customStyle="1" w:styleId="HeaderChar">
    <w:name w:val="Header Char"/>
    <w:basedOn w:val="DefaultParagraphFont"/>
    <w:link w:val="Header"/>
    <w:rsid w:val="00F44E15"/>
    <w:rPr>
      <w:sz w:val="24"/>
      <w:szCs w:val="24"/>
    </w:rPr>
  </w:style>
  <w:style w:type="table" w:styleId="TableGrid">
    <w:name w:val="Table Grid"/>
    <w:basedOn w:val="TableNormal"/>
    <w:rsid w:val="00071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EC0D446D583644A011BBE3CFD717F4" ma:contentTypeVersion="0" ma:contentTypeDescription="Create a new document." ma:contentTypeScope="" ma:versionID="1b99398851e08a41f97f552fd25584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64340-732A-4929-A783-2C8AF9F67B6B}">
  <ds:schemaRefs>
    <ds:schemaRef ds:uri="http://schemas.microsoft.com/sharepoint/v3/contenttype/forms"/>
  </ds:schemaRefs>
</ds:datastoreItem>
</file>

<file path=customXml/itemProps2.xml><?xml version="1.0" encoding="utf-8"?>
<ds:datastoreItem xmlns:ds="http://schemas.openxmlformats.org/officeDocument/2006/customXml" ds:itemID="{B22DB58F-3832-4663-9CA3-8A047C401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5313C4-7181-4D8D-82CE-4E1E32FEB297}">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4324</Characters>
  <Application>Microsoft Office Word</Application>
  <DocSecurity>0</DocSecurity>
  <Lines>227</Lines>
  <Paragraphs>89</Paragraphs>
  <ScaleCrop>false</ScaleCrop>
  <HeadingPairs>
    <vt:vector size="2" baseType="variant">
      <vt:variant>
        <vt:lpstr>Title</vt:lpstr>
      </vt:variant>
      <vt:variant>
        <vt:i4>1</vt:i4>
      </vt:variant>
    </vt:vector>
  </HeadingPairs>
  <TitlesOfParts>
    <vt:vector size="1" baseType="lpstr">
      <vt:lpstr>&lt;Insert Sponsor Logo</vt:lpstr>
    </vt:vector>
  </TitlesOfParts>
  <Company>Morley Foundation</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&lt;Insert Sponsor Logo</dc:title>
  <dc:subject/>
  <dc:creator>Deidra M. Poucher</dc:creator>
  <cp:keywords/>
  <dc:description/>
  <cp:lastModifiedBy>Amy S Bryant</cp:lastModifiedBy>
  <cp:revision>2</cp:revision>
  <cp:lastPrinted>2009-01-06T18:36:00Z</cp:lastPrinted>
  <dcterms:created xsi:type="dcterms:W3CDTF">2017-11-15T17:55:00Z</dcterms:created>
  <dcterms:modified xsi:type="dcterms:W3CDTF">2017-11-15T17:55:00Z</dcterms:modified>
</cp:coreProperties>
</file>