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DD876" w14:textId="77777777" w:rsidR="00E63A33" w:rsidRDefault="00E63A33" w:rsidP="00E407E8">
      <w:pPr>
        <w:spacing w:after="0" w:line="240" w:lineRule="auto"/>
        <w:jc w:val="center"/>
        <w:rPr>
          <w:rFonts w:ascii="Bernard MT Condensed" w:hAnsi="Bernard MT Condensed" w:cs="Arial"/>
          <w:sz w:val="96"/>
          <w:szCs w:val="96"/>
        </w:rPr>
      </w:pPr>
    </w:p>
    <w:p w14:paraId="7CA5F996" w14:textId="77777777" w:rsidR="00A736A7" w:rsidRDefault="00A736A7" w:rsidP="00E407E8">
      <w:pPr>
        <w:spacing w:after="0" w:line="240" w:lineRule="auto"/>
        <w:jc w:val="center"/>
        <w:rPr>
          <w:rFonts w:ascii="Bernard MT Condensed" w:hAnsi="Bernard MT Condensed" w:cs="Arial"/>
          <w:sz w:val="96"/>
          <w:szCs w:val="96"/>
        </w:rPr>
      </w:pPr>
    </w:p>
    <w:p w14:paraId="0664DDB7" w14:textId="77777777" w:rsidR="0044095F" w:rsidRDefault="0044095F" w:rsidP="00E407E8">
      <w:pPr>
        <w:spacing w:after="0" w:line="240" w:lineRule="auto"/>
        <w:jc w:val="center"/>
        <w:rPr>
          <w:rFonts w:ascii="Bernard MT Condensed" w:hAnsi="Bernard MT Condensed" w:cs="Arial"/>
          <w:sz w:val="96"/>
          <w:szCs w:val="96"/>
        </w:rPr>
      </w:pPr>
    </w:p>
    <w:p w14:paraId="669A7072" w14:textId="77777777" w:rsidR="00E407E8" w:rsidRPr="00BF2232" w:rsidRDefault="00E407E8" w:rsidP="00E407E8">
      <w:pPr>
        <w:spacing w:after="0" w:line="240" w:lineRule="auto"/>
        <w:jc w:val="center"/>
        <w:rPr>
          <w:rFonts w:ascii="Bernard MT Condensed" w:hAnsi="Bernard MT Condensed" w:cs="Arial"/>
          <w:sz w:val="96"/>
          <w:szCs w:val="96"/>
        </w:rPr>
      </w:pPr>
      <w:r w:rsidRPr="00BF2232">
        <w:rPr>
          <w:rFonts w:ascii="Bernard MT Condensed" w:hAnsi="Bernard MT Condensed" w:cs="Arial"/>
          <w:sz w:val="96"/>
          <w:szCs w:val="96"/>
        </w:rPr>
        <w:t>Service Center</w:t>
      </w:r>
    </w:p>
    <w:p w14:paraId="4DD8C3BE" w14:textId="77777777" w:rsidR="00E407E8" w:rsidRPr="00BF2232" w:rsidRDefault="00E407E8" w:rsidP="00E407E8">
      <w:pPr>
        <w:spacing w:after="0" w:line="240" w:lineRule="auto"/>
        <w:jc w:val="center"/>
        <w:rPr>
          <w:rFonts w:ascii="Bernard MT Condensed" w:hAnsi="Bernard MT Condensed" w:cs="Arial"/>
          <w:sz w:val="96"/>
          <w:szCs w:val="96"/>
        </w:rPr>
      </w:pPr>
      <w:r w:rsidRPr="00BF2232">
        <w:rPr>
          <w:rFonts w:ascii="Bernard MT Condensed" w:hAnsi="Bernard MT Condensed" w:cs="Arial"/>
          <w:sz w:val="96"/>
          <w:szCs w:val="96"/>
        </w:rPr>
        <w:t>Policies and Procedures Manual</w:t>
      </w:r>
    </w:p>
    <w:p w14:paraId="0FDA334F" w14:textId="77777777" w:rsidR="00E407E8" w:rsidRDefault="00E407E8" w:rsidP="00E407E8">
      <w:pPr>
        <w:spacing w:after="0" w:line="240" w:lineRule="auto"/>
        <w:jc w:val="center"/>
        <w:rPr>
          <w:rFonts w:ascii="Arial" w:hAnsi="Arial" w:cs="Arial"/>
          <w:sz w:val="24"/>
          <w:szCs w:val="24"/>
        </w:rPr>
      </w:pPr>
    </w:p>
    <w:p w14:paraId="40EF04AA" w14:textId="77777777" w:rsidR="00E407E8" w:rsidRDefault="00E407E8" w:rsidP="00E407E8">
      <w:pPr>
        <w:spacing w:after="0" w:line="240" w:lineRule="auto"/>
        <w:jc w:val="center"/>
        <w:rPr>
          <w:rFonts w:ascii="Arial" w:hAnsi="Arial" w:cs="Arial"/>
          <w:sz w:val="24"/>
          <w:szCs w:val="24"/>
        </w:rPr>
      </w:pPr>
    </w:p>
    <w:p w14:paraId="2C92B29E" w14:textId="77777777" w:rsidR="00E407E8" w:rsidRDefault="00E407E8" w:rsidP="00E407E8">
      <w:pPr>
        <w:spacing w:after="0" w:line="240" w:lineRule="auto"/>
        <w:jc w:val="center"/>
        <w:rPr>
          <w:rFonts w:ascii="Arial" w:hAnsi="Arial" w:cs="Arial"/>
          <w:sz w:val="24"/>
          <w:szCs w:val="24"/>
        </w:rPr>
      </w:pPr>
    </w:p>
    <w:p w14:paraId="12DB2E78" w14:textId="77777777" w:rsidR="00E407E8" w:rsidRDefault="00E407E8" w:rsidP="00E407E8">
      <w:pPr>
        <w:spacing w:after="0" w:line="240" w:lineRule="auto"/>
        <w:jc w:val="center"/>
        <w:rPr>
          <w:rFonts w:ascii="Arial" w:hAnsi="Arial" w:cs="Arial"/>
          <w:sz w:val="24"/>
          <w:szCs w:val="24"/>
        </w:rPr>
      </w:pPr>
    </w:p>
    <w:p w14:paraId="7D92679D" w14:textId="77777777" w:rsidR="00E407E8" w:rsidRDefault="00E407E8" w:rsidP="00E407E8">
      <w:pPr>
        <w:spacing w:after="0" w:line="240" w:lineRule="auto"/>
        <w:jc w:val="center"/>
        <w:rPr>
          <w:rFonts w:ascii="Arial" w:hAnsi="Arial" w:cs="Arial"/>
          <w:sz w:val="24"/>
          <w:szCs w:val="24"/>
        </w:rPr>
      </w:pPr>
    </w:p>
    <w:p w14:paraId="749DF0D0" w14:textId="77777777" w:rsidR="00E407E8" w:rsidRDefault="00E407E8" w:rsidP="00E407E8">
      <w:pPr>
        <w:spacing w:after="0" w:line="240" w:lineRule="auto"/>
        <w:jc w:val="center"/>
        <w:rPr>
          <w:rFonts w:ascii="Arial" w:hAnsi="Arial" w:cs="Arial"/>
          <w:sz w:val="24"/>
          <w:szCs w:val="24"/>
        </w:rPr>
      </w:pPr>
    </w:p>
    <w:p w14:paraId="6A2C4249" w14:textId="77777777" w:rsidR="00E407E8" w:rsidRDefault="00E407E8" w:rsidP="00E407E8">
      <w:pPr>
        <w:spacing w:after="0" w:line="240" w:lineRule="auto"/>
        <w:jc w:val="center"/>
        <w:rPr>
          <w:rFonts w:ascii="Arial" w:hAnsi="Arial" w:cs="Arial"/>
          <w:sz w:val="24"/>
          <w:szCs w:val="24"/>
        </w:rPr>
      </w:pPr>
    </w:p>
    <w:p w14:paraId="3EF7EBEC" w14:textId="77777777" w:rsidR="00E407E8" w:rsidRDefault="00E407E8" w:rsidP="00E407E8">
      <w:pPr>
        <w:spacing w:after="0" w:line="240" w:lineRule="auto"/>
        <w:jc w:val="center"/>
        <w:rPr>
          <w:rFonts w:ascii="Arial" w:hAnsi="Arial" w:cs="Arial"/>
          <w:sz w:val="24"/>
          <w:szCs w:val="24"/>
        </w:rPr>
      </w:pPr>
    </w:p>
    <w:p w14:paraId="48228ACF" w14:textId="77777777" w:rsidR="00E407E8" w:rsidRDefault="00E407E8" w:rsidP="00E407E8">
      <w:pPr>
        <w:spacing w:after="0" w:line="240" w:lineRule="auto"/>
        <w:jc w:val="center"/>
        <w:rPr>
          <w:rFonts w:ascii="Arial" w:hAnsi="Arial" w:cs="Arial"/>
          <w:sz w:val="24"/>
          <w:szCs w:val="24"/>
        </w:rPr>
      </w:pPr>
    </w:p>
    <w:p w14:paraId="70340B60" w14:textId="77777777" w:rsidR="00A736A7" w:rsidRDefault="00A736A7" w:rsidP="00E407E8">
      <w:pPr>
        <w:spacing w:after="0" w:line="240" w:lineRule="auto"/>
        <w:jc w:val="center"/>
        <w:rPr>
          <w:rFonts w:ascii="Arial" w:hAnsi="Arial" w:cs="Arial"/>
          <w:sz w:val="24"/>
          <w:szCs w:val="24"/>
        </w:rPr>
      </w:pPr>
    </w:p>
    <w:p w14:paraId="17A55C76" w14:textId="77777777" w:rsidR="00A736A7" w:rsidRDefault="00A736A7" w:rsidP="00E407E8">
      <w:pPr>
        <w:spacing w:after="0" w:line="240" w:lineRule="auto"/>
        <w:jc w:val="center"/>
        <w:rPr>
          <w:rFonts w:ascii="Arial" w:hAnsi="Arial" w:cs="Arial"/>
          <w:sz w:val="24"/>
          <w:szCs w:val="24"/>
        </w:rPr>
      </w:pPr>
    </w:p>
    <w:p w14:paraId="3DD8D4A3" w14:textId="77777777" w:rsidR="00A736A7" w:rsidRDefault="00A736A7" w:rsidP="00E407E8">
      <w:pPr>
        <w:spacing w:after="0" w:line="240" w:lineRule="auto"/>
        <w:jc w:val="center"/>
        <w:rPr>
          <w:rFonts w:ascii="Arial" w:hAnsi="Arial" w:cs="Arial"/>
          <w:sz w:val="24"/>
          <w:szCs w:val="24"/>
        </w:rPr>
      </w:pPr>
    </w:p>
    <w:p w14:paraId="42624CC7" w14:textId="77777777" w:rsidR="00A736A7" w:rsidRDefault="00A736A7" w:rsidP="00E407E8">
      <w:pPr>
        <w:spacing w:after="0" w:line="240" w:lineRule="auto"/>
        <w:jc w:val="center"/>
        <w:rPr>
          <w:rFonts w:ascii="Arial" w:hAnsi="Arial" w:cs="Arial"/>
          <w:sz w:val="24"/>
          <w:szCs w:val="24"/>
        </w:rPr>
      </w:pPr>
    </w:p>
    <w:p w14:paraId="502846C8" w14:textId="77777777" w:rsidR="00E407E8" w:rsidRDefault="00E407E8" w:rsidP="00E407E8">
      <w:pPr>
        <w:spacing w:after="0" w:line="240" w:lineRule="auto"/>
        <w:jc w:val="center"/>
        <w:rPr>
          <w:rFonts w:ascii="Arial" w:hAnsi="Arial" w:cs="Arial"/>
          <w:sz w:val="24"/>
          <w:szCs w:val="24"/>
        </w:rPr>
      </w:pPr>
    </w:p>
    <w:p w14:paraId="3430545A" w14:textId="77777777" w:rsidR="00E407E8" w:rsidRDefault="00E407E8" w:rsidP="00E407E8">
      <w:pPr>
        <w:spacing w:after="0" w:line="240" w:lineRule="auto"/>
        <w:jc w:val="center"/>
        <w:rPr>
          <w:rFonts w:ascii="Arial" w:hAnsi="Arial" w:cs="Arial"/>
          <w:sz w:val="24"/>
          <w:szCs w:val="24"/>
        </w:rPr>
      </w:pPr>
    </w:p>
    <w:p w14:paraId="3D20D78A" w14:textId="77777777" w:rsidR="00E407E8" w:rsidRDefault="00E407E8" w:rsidP="00E407E8">
      <w:pPr>
        <w:spacing w:after="0" w:line="240" w:lineRule="auto"/>
        <w:jc w:val="center"/>
        <w:rPr>
          <w:rFonts w:ascii="Arial" w:hAnsi="Arial" w:cs="Arial"/>
          <w:sz w:val="24"/>
          <w:szCs w:val="24"/>
        </w:rPr>
      </w:pPr>
    </w:p>
    <w:p w14:paraId="2FF9909E" w14:textId="77777777" w:rsidR="00E407E8" w:rsidRDefault="00E407E8" w:rsidP="00E407E8">
      <w:pPr>
        <w:spacing w:after="0" w:line="240" w:lineRule="auto"/>
        <w:jc w:val="center"/>
        <w:rPr>
          <w:rFonts w:ascii="Arial" w:hAnsi="Arial" w:cs="Arial"/>
          <w:sz w:val="24"/>
          <w:szCs w:val="24"/>
        </w:rPr>
      </w:pPr>
    </w:p>
    <w:p w14:paraId="142DBBD1" w14:textId="77777777" w:rsidR="00A33F3C" w:rsidRDefault="00A33F3C" w:rsidP="00E407E8">
      <w:pPr>
        <w:spacing w:after="0" w:line="240" w:lineRule="auto"/>
        <w:jc w:val="center"/>
        <w:rPr>
          <w:rFonts w:ascii="Arial" w:hAnsi="Arial" w:cs="Arial"/>
          <w:sz w:val="24"/>
          <w:szCs w:val="24"/>
        </w:rPr>
      </w:pPr>
    </w:p>
    <w:p w14:paraId="398B002A" w14:textId="77777777" w:rsidR="00A33F3C" w:rsidRDefault="00A33F3C" w:rsidP="00E407E8">
      <w:pPr>
        <w:spacing w:after="0" w:line="240" w:lineRule="auto"/>
        <w:jc w:val="center"/>
        <w:rPr>
          <w:rFonts w:ascii="Arial" w:hAnsi="Arial" w:cs="Arial"/>
          <w:sz w:val="24"/>
          <w:szCs w:val="24"/>
        </w:rPr>
      </w:pPr>
    </w:p>
    <w:p w14:paraId="249230CA" w14:textId="77777777" w:rsidR="00E407E8" w:rsidRDefault="00E407E8" w:rsidP="00E407E8">
      <w:pPr>
        <w:spacing w:after="0" w:line="240" w:lineRule="auto"/>
        <w:jc w:val="center"/>
        <w:rPr>
          <w:rFonts w:ascii="Arial" w:hAnsi="Arial" w:cs="Arial"/>
          <w:sz w:val="24"/>
          <w:szCs w:val="24"/>
        </w:rPr>
      </w:pPr>
    </w:p>
    <w:p w14:paraId="17666D95" w14:textId="77777777" w:rsidR="00E407E8" w:rsidRDefault="00E407E8" w:rsidP="00E407E8">
      <w:pPr>
        <w:spacing w:after="0" w:line="240" w:lineRule="auto"/>
        <w:jc w:val="center"/>
        <w:rPr>
          <w:rFonts w:ascii="Arial" w:hAnsi="Arial" w:cs="Arial"/>
          <w:sz w:val="24"/>
          <w:szCs w:val="24"/>
        </w:rPr>
      </w:pPr>
    </w:p>
    <w:p w14:paraId="4F86A972" w14:textId="77777777" w:rsidR="00BB664A" w:rsidRDefault="00E407E8" w:rsidP="00E407E8">
      <w:pPr>
        <w:pStyle w:val="PlainText"/>
        <w:rPr>
          <w:rFonts w:ascii="Arial" w:hAnsi="Arial" w:cs="Arial"/>
          <w:sz w:val="22"/>
          <w:szCs w:val="22"/>
        </w:rPr>
      </w:pPr>
      <w:r w:rsidRPr="00F73DD7">
        <w:rPr>
          <w:rFonts w:ascii="Arial" w:hAnsi="Arial" w:cs="Arial"/>
          <w:sz w:val="22"/>
          <w:szCs w:val="22"/>
        </w:rPr>
        <w:t xml:space="preserve">       </w:t>
      </w:r>
      <w:r w:rsidR="00A12858">
        <w:rPr>
          <w:rFonts w:ascii="Arial" w:hAnsi="Arial" w:cs="Arial"/>
          <w:sz w:val="22"/>
          <w:szCs w:val="22"/>
        </w:rPr>
        <w:t>Prepared by:</w:t>
      </w:r>
    </w:p>
    <w:p w14:paraId="7C1F5CB7" w14:textId="77777777" w:rsidR="00A12858" w:rsidRDefault="00A12858" w:rsidP="00E407E8">
      <w:pPr>
        <w:pStyle w:val="PlainText"/>
        <w:rPr>
          <w:rFonts w:ascii="Arial" w:hAnsi="Arial" w:cs="Arial"/>
          <w:sz w:val="22"/>
          <w:szCs w:val="22"/>
        </w:rPr>
      </w:pPr>
      <w:r>
        <w:rPr>
          <w:rFonts w:ascii="Arial" w:hAnsi="Arial" w:cs="Arial"/>
          <w:sz w:val="22"/>
          <w:szCs w:val="22"/>
        </w:rPr>
        <w:tab/>
        <w:t>Government Cost Compliance</w:t>
      </w:r>
    </w:p>
    <w:p w14:paraId="5A34E4AC" w14:textId="6732E684" w:rsidR="00A12858" w:rsidRDefault="00A12858" w:rsidP="00E407E8">
      <w:pPr>
        <w:pStyle w:val="PlainText"/>
        <w:rPr>
          <w:rFonts w:ascii="Calibri" w:hAnsi="Calibri"/>
          <w:sz w:val="22"/>
          <w:szCs w:val="22"/>
        </w:rPr>
      </w:pPr>
      <w:r>
        <w:rPr>
          <w:rFonts w:ascii="Arial" w:hAnsi="Arial" w:cs="Arial"/>
          <w:sz w:val="22"/>
          <w:szCs w:val="22"/>
        </w:rPr>
        <w:tab/>
        <w:t xml:space="preserve">Revised </w:t>
      </w:r>
      <w:r w:rsidR="003246FD">
        <w:rPr>
          <w:rFonts w:ascii="Arial" w:hAnsi="Arial" w:cs="Arial"/>
          <w:sz w:val="22"/>
          <w:szCs w:val="22"/>
        </w:rPr>
        <w:t xml:space="preserve">May </w:t>
      </w:r>
      <w:r w:rsidR="00AB3893">
        <w:rPr>
          <w:rFonts w:ascii="Arial" w:hAnsi="Arial" w:cs="Arial"/>
          <w:sz w:val="22"/>
          <w:szCs w:val="22"/>
        </w:rPr>
        <w:t>30</w:t>
      </w:r>
      <w:r>
        <w:rPr>
          <w:rFonts w:ascii="Arial" w:hAnsi="Arial" w:cs="Arial"/>
          <w:sz w:val="22"/>
          <w:szCs w:val="22"/>
        </w:rPr>
        <w:t>, 2019</w:t>
      </w:r>
    </w:p>
    <w:p w14:paraId="3A356EA1" w14:textId="77777777" w:rsidR="00A74673" w:rsidRDefault="00A74673" w:rsidP="00A74673">
      <w:pPr>
        <w:pStyle w:val="TOC1"/>
        <w:spacing w:after="120"/>
      </w:pPr>
    </w:p>
    <w:p w14:paraId="2EE1EFA8" w14:textId="77777777" w:rsidR="00A74673" w:rsidRPr="00A74673" w:rsidRDefault="00A74673" w:rsidP="00A74673">
      <w:pPr>
        <w:pStyle w:val="TOC1"/>
        <w:spacing w:after="120"/>
        <w:rPr>
          <w:sz w:val="36"/>
          <w:szCs w:val="36"/>
        </w:rPr>
      </w:pPr>
      <w:r w:rsidRPr="00A74673">
        <w:rPr>
          <w:sz w:val="36"/>
          <w:szCs w:val="36"/>
        </w:rPr>
        <w:lastRenderedPageBreak/>
        <w:t>Table of Contents</w:t>
      </w:r>
    </w:p>
    <w:p w14:paraId="2CB3B95A" w14:textId="77777777" w:rsidR="00A74673" w:rsidRDefault="00A74673" w:rsidP="00A74673">
      <w:pPr>
        <w:pStyle w:val="TOC1"/>
        <w:spacing w:after="120"/>
      </w:pPr>
      <w:r>
        <w:t>MANUAL PURPOSE</w:t>
      </w:r>
      <w:r>
        <w:ptab w:relativeTo="margin" w:alignment="right" w:leader="dot"/>
      </w:r>
      <w:r>
        <w:t>3</w:t>
      </w:r>
    </w:p>
    <w:p w14:paraId="05DA89D1" w14:textId="77777777" w:rsidR="00A74673" w:rsidRDefault="00A74673" w:rsidP="00A74673">
      <w:pPr>
        <w:pStyle w:val="TOC1"/>
        <w:spacing w:after="120"/>
      </w:pPr>
      <w:r>
        <w:t>DEFINITIONS</w:t>
      </w:r>
      <w:r>
        <w:ptab w:relativeTo="margin" w:alignment="right" w:leader="dot"/>
      </w:r>
      <w:r>
        <w:t>4-6</w:t>
      </w:r>
    </w:p>
    <w:p w14:paraId="2BE5BB6B" w14:textId="77777777" w:rsidR="00A74673" w:rsidRDefault="00A74673" w:rsidP="00A74673">
      <w:pPr>
        <w:pStyle w:val="TOC1"/>
        <w:spacing w:after="0"/>
      </w:pPr>
      <w:r>
        <w:tab/>
        <w:t>Recharge Units</w:t>
      </w:r>
      <w:r>
        <w:ptab w:relativeTo="margin" w:alignment="right" w:leader="dot"/>
      </w:r>
      <w:r>
        <w:t>4</w:t>
      </w:r>
    </w:p>
    <w:p w14:paraId="2753BCF5" w14:textId="77777777" w:rsidR="00A74673" w:rsidRDefault="00A74673" w:rsidP="00A74673">
      <w:pPr>
        <w:pStyle w:val="TOC1"/>
        <w:spacing w:after="0"/>
        <w:ind w:firstLine="720"/>
      </w:pPr>
      <w:r>
        <w:t>Service Center</w:t>
      </w:r>
      <w:r>
        <w:ptab w:relativeTo="margin" w:alignment="right" w:leader="dot"/>
      </w:r>
      <w:r>
        <w:t>4</w:t>
      </w:r>
    </w:p>
    <w:p w14:paraId="5284C89D" w14:textId="77777777" w:rsidR="00A74673" w:rsidRDefault="00A74673" w:rsidP="00A74673">
      <w:pPr>
        <w:pStyle w:val="TOC1"/>
        <w:spacing w:after="0"/>
        <w:ind w:firstLine="720"/>
      </w:pPr>
      <w:r>
        <w:t>University Service Center</w:t>
      </w:r>
      <w:r>
        <w:ptab w:relativeTo="margin" w:alignment="right" w:leader="dot"/>
      </w:r>
      <w:r>
        <w:t>4</w:t>
      </w:r>
    </w:p>
    <w:p w14:paraId="4B10FF0F" w14:textId="77777777" w:rsidR="00A74673" w:rsidRDefault="00A74673" w:rsidP="00A74673">
      <w:pPr>
        <w:pStyle w:val="TOC1"/>
        <w:spacing w:after="0"/>
        <w:ind w:firstLine="720"/>
      </w:pPr>
      <w:r>
        <w:t>Departmental Service Center</w:t>
      </w:r>
      <w:r>
        <w:ptab w:relativeTo="margin" w:alignment="right" w:leader="dot"/>
      </w:r>
      <w:r>
        <w:t>4</w:t>
      </w:r>
    </w:p>
    <w:p w14:paraId="6615BBFD" w14:textId="77777777" w:rsidR="00A74673" w:rsidRDefault="00A74673" w:rsidP="00A74673">
      <w:pPr>
        <w:pStyle w:val="TOC1"/>
        <w:spacing w:after="0"/>
        <w:ind w:firstLine="720"/>
      </w:pPr>
      <w:r>
        <w:t>Store Operation</w:t>
      </w:r>
      <w:r>
        <w:ptab w:relativeTo="margin" w:alignment="right" w:leader="dot"/>
      </w:r>
      <w:r>
        <w:t>4</w:t>
      </w:r>
    </w:p>
    <w:p w14:paraId="6AD9B512" w14:textId="77777777" w:rsidR="00A74673" w:rsidRDefault="00A74673" w:rsidP="00A74673">
      <w:pPr>
        <w:pStyle w:val="TOC1"/>
        <w:spacing w:after="0"/>
        <w:ind w:firstLine="720"/>
      </w:pPr>
      <w:r>
        <w:t>Special Recharge Unit</w:t>
      </w:r>
      <w:r>
        <w:ptab w:relativeTo="margin" w:alignment="right" w:leader="dot"/>
      </w:r>
      <w:r>
        <w:t>4</w:t>
      </w:r>
    </w:p>
    <w:p w14:paraId="3D045D6A" w14:textId="77777777" w:rsidR="00A74673" w:rsidRDefault="00A74673" w:rsidP="00A74673">
      <w:pPr>
        <w:pStyle w:val="TOC1"/>
        <w:spacing w:after="0"/>
        <w:ind w:firstLine="720"/>
      </w:pPr>
      <w:r>
        <w:t>Sales and Service Units</w:t>
      </w:r>
      <w:r>
        <w:ptab w:relativeTo="margin" w:alignment="right" w:leader="dot"/>
      </w:r>
      <w:r>
        <w:t>4</w:t>
      </w:r>
    </w:p>
    <w:p w14:paraId="6B80784F" w14:textId="77777777" w:rsidR="00A74673" w:rsidRDefault="005B5B32" w:rsidP="00A74673">
      <w:pPr>
        <w:pStyle w:val="TOC1"/>
        <w:spacing w:after="0"/>
        <w:ind w:firstLine="720"/>
      </w:pPr>
      <w:r>
        <w:t>Auxiliary</w:t>
      </w:r>
      <w:r w:rsidR="00A74673">
        <w:ptab w:relativeTo="margin" w:alignment="right" w:leader="dot"/>
      </w:r>
      <w:r w:rsidR="00A74673">
        <w:t>4</w:t>
      </w:r>
    </w:p>
    <w:p w14:paraId="3A944F82" w14:textId="77777777" w:rsidR="00A74673" w:rsidRDefault="00A74673" w:rsidP="00A74673">
      <w:pPr>
        <w:pStyle w:val="TOC1"/>
        <w:spacing w:after="0"/>
        <w:ind w:firstLine="720"/>
      </w:pPr>
      <w:r>
        <w:t>Direct Cost</w:t>
      </w:r>
      <w:r>
        <w:ptab w:relativeTo="margin" w:alignment="right" w:leader="dot"/>
      </w:r>
      <w:r w:rsidR="00A736A7">
        <w:t>4</w:t>
      </w:r>
    </w:p>
    <w:p w14:paraId="66BAFBC6" w14:textId="77777777" w:rsidR="00A74673" w:rsidRDefault="00A74673" w:rsidP="00A74673">
      <w:pPr>
        <w:pStyle w:val="TOC1"/>
        <w:spacing w:after="0"/>
        <w:ind w:firstLine="720"/>
      </w:pPr>
      <w:r>
        <w:t>Allowable Costs</w:t>
      </w:r>
      <w:r>
        <w:ptab w:relativeTo="margin" w:alignment="right" w:leader="dot"/>
      </w:r>
      <w:r>
        <w:t>5</w:t>
      </w:r>
    </w:p>
    <w:p w14:paraId="2E59DB0F" w14:textId="77777777" w:rsidR="00A74673" w:rsidRDefault="00A74673" w:rsidP="00A74673">
      <w:pPr>
        <w:pStyle w:val="TOC1"/>
        <w:spacing w:after="0"/>
        <w:ind w:firstLine="720"/>
      </w:pPr>
      <w:r>
        <w:t>Unallowable Costs</w:t>
      </w:r>
      <w:r>
        <w:ptab w:relativeTo="margin" w:alignment="right" w:leader="dot"/>
      </w:r>
      <w:r>
        <w:t>5</w:t>
      </w:r>
    </w:p>
    <w:p w14:paraId="48359927" w14:textId="77777777" w:rsidR="00A74673" w:rsidRDefault="00A74673" w:rsidP="00A74673">
      <w:pPr>
        <w:pStyle w:val="TOC1"/>
        <w:spacing w:after="0"/>
        <w:ind w:firstLine="720"/>
      </w:pPr>
      <w:r>
        <w:t>Designated Service Center Funds</w:t>
      </w:r>
      <w:r>
        <w:ptab w:relativeTo="margin" w:alignment="right" w:leader="dot"/>
      </w:r>
      <w:r>
        <w:t>5</w:t>
      </w:r>
    </w:p>
    <w:p w14:paraId="4B414AAE" w14:textId="77777777" w:rsidR="00A74673" w:rsidRDefault="00A74673" w:rsidP="00A74673">
      <w:pPr>
        <w:pStyle w:val="TOC1"/>
        <w:spacing w:after="0"/>
        <w:ind w:firstLine="720"/>
      </w:pPr>
      <w:r>
        <w:t>Renewal and Replacement Funds</w:t>
      </w:r>
      <w:r>
        <w:ptab w:relativeTo="margin" w:alignment="right" w:leader="dot"/>
      </w:r>
      <w:r>
        <w:t>5</w:t>
      </w:r>
    </w:p>
    <w:p w14:paraId="22DAC310" w14:textId="77777777" w:rsidR="00A74673" w:rsidRDefault="00A74673" w:rsidP="00A74673">
      <w:pPr>
        <w:pStyle w:val="TOC1"/>
        <w:spacing w:after="0"/>
        <w:ind w:firstLine="720"/>
      </w:pPr>
      <w:r>
        <w:t>Cost Centers</w:t>
      </w:r>
      <w:r>
        <w:ptab w:relativeTo="margin" w:alignment="right" w:leader="dot"/>
      </w:r>
      <w:r w:rsidR="00A736A7">
        <w:t>5</w:t>
      </w:r>
    </w:p>
    <w:p w14:paraId="3D7A0C16" w14:textId="77777777" w:rsidR="00A74673" w:rsidRDefault="00A74673" w:rsidP="00A74673">
      <w:pPr>
        <w:pStyle w:val="TOC1"/>
        <w:spacing w:after="0"/>
        <w:ind w:firstLine="720"/>
      </w:pPr>
      <w:r>
        <w:t>Internal User</w:t>
      </w:r>
      <w:r>
        <w:ptab w:relativeTo="margin" w:alignment="right" w:leader="dot"/>
      </w:r>
      <w:r>
        <w:t>6</w:t>
      </w:r>
    </w:p>
    <w:p w14:paraId="0E2E8894" w14:textId="77777777" w:rsidR="00A74673" w:rsidRDefault="00A74673" w:rsidP="00A74673">
      <w:pPr>
        <w:pStyle w:val="TOC1"/>
        <w:spacing w:after="0"/>
        <w:ind w:firstLine="720"/>
      </w:pPr>
      <w:r>
        <w:t>Federal User</w:t>
      </w:r>
      <w:r>
        <w:ptab w:relativeTo="margin" w:alignment="right" w:leader="dot"/>
      </w:r>
      <w:r>
        <w:t>6</w:t>
      </w:r>
    </w:p>
    <w:p w14:paraId="2A3A4E6A" w14:textId="77777777" w:rsidR="00A74673" w:rsidRDefault="00A74673" w:rsidP="00A74673">
      <w:pPr>
        <w:pStyle w:val="TOC1"/>
        <w:spacing w:after="0"/>
        <w:ind w:firstLine="720"/>
      </w:pPr>
      <w:r>
        <w:t>External User</w:t>
      </w:r>
      <w:r>
        <w:ptab w:relativeTo="margin" w:alignment="right" w:leader="dot"/>
      </w:r>
      <w:r>
        <w:t>6</w:t>
      </w:r>
    </w:p>
    <w:p w14:paraId="19DEF846" w14:textId="77777777" w:rsidR="00A74673" w:rsidRDefault="00A74673" w:rsidP="00A74673">
      <w:pPr>
        <w:pStyle w:val="TOC1"/>
        <w:spacing w:after="120"/>
        <w:ind w:firstLine="720"/>
      </w:pPr>
      <w:r>
        <w:t>Affiliate User</w:t>
      </w:r>
      <w:r>
        <w:ptab w:relativeTo="margin" w:alignment="right" w:leader="dot"/>
      </w:r>
      <w:r>
        <w:t>6</w:t>
      </w:r>
    </w:p>
    <w:p w14:paraId="19E75F03" w14:textId="77777777" w:rsidR="00A74673" w:rsidRDefault="003246FD" w:rsidP="00A74673">
      <w:pPr>
        <w:pStyle w:val="TOC1"/>
        <w:spacing w:after="0"/>
      </w:pPr>
      <w:r>
        <w:t>ADMINISTRATIVE RESPONSI</w:t>
      </w:r>
      <w:r w:rsidR="00A74673">
        <w:t>BILITIES</w:t>
      </w:r>
      <w:r w:rsidR="00A74673">
        <w:ptab w:relativeTo="margin" w:alignment="right" w:leader="dot"/>
      </w:r>
      <w:r w:rsidR="00A74673">
        <w:t>7-8</w:t>
      </w:r>
    </w:p>
    <w:p w14:paraId="5C34B7CD" w14:textId="77777777" w:rsidR="00A74673" w:rsidRDefault="00A74673" w:rsidP="00A74673">
      <w:pPr>
        <w:pStyle w:val="TOC1"/>
        <w:spacing w:after="0"/>
        <w:ind w:firstLine="720"/>
      </w:pPr>
      <w:r>
        <w:t>Recharge Council</w:t>
      </w:r>
      <w:r>
        <w:ptab w:relativeTo="margin" w:alignment="right" w:leader="dot"/>
      </w:r>
      <w:r>
        <w:t>7</w:t>
      </w:r>
    </w:p>
    <w:p w14:paraId="6D7C18C6" w14:textId="77777777" w:rsidR="00A74673" w:rsidRDefault="00A74673" w:rsidP="00A74673">
      <w:pPr>
        <w:pStyle w:val="TOC1"/>
        <w:spacing w:after="0"/>
        <w:ind w:firstLine="720"/>
      </w:pPr>
      <w:r>
        <w:t>Service Center</w:t>
      </w:r>
      <w:r>
        <w:ptab w:relativeTo="margin" w:alignment="right" w:leader="dot"/>
      </w:r>
      <w:r>
        <w:t>7</w:t>
      </w:r>
    </w:p>
    <w:p w14:paraId="4CCF53F2" w14:textId="77777777" w:rsidR="00A74673" w:rsidRDefault="00A74673" w:rsidP="00A74673">
      <w:pPr>
        <w:pStyle w:val="TOC1"/>
        <w:spacing w:after="0"/>
        <w:ind w:firstLine="720"/>
      </w:pPr>
      <w:r>
        <w:t>Government Cost Compliance</w:t>
      </w:r>
      <w:r>
        <w:ptab w:relativeTo="margin" w:alignment="right" w:leader="dot"/>
      </w:r>
      <w:r>
        <w:t>8</w:t>
      </w:r>
    </w:p>
    <w:p w14:paraId="48D45A08" w14:textId="77777777" w:rsidR="00A74673" w:rsidRDefault="00A74673" w:rsidP="00A74673">
      <w:pPr>
        <w:pStyle w:val="TOC1"/>
        <w:spacing w:after="120"/>
      </w:pPr>
      <w:r>
        <w:t>CRITERIA FOR SERVICE CENTER</w:t>
      </w:r>
      <w:r>
        <w:ptab w:relativeTo="margin" w:alignment="right" w:leader="dot"/>
      </w:r>
      <w:r>
        <w:t>9</w:t>
      </w:r>
    </w:p>
    <w:p w14:paraId="158ECD0F" w14:textId="77777777" w:rsidR="00A74673" w:rsidRDefault="00A74673" w:rsidP="00A74673">
      <w:pPr>
        <w:pStyle w:val="TOC1"/>
      </w:pPr>
      <w:r>
        <w:t>SETTING UP A SERVICE CENTER</w:t>
      </w:r>
      <w:r>
        <w:ptab w:relativeTo="margin" w:alignment="right" w:leader="dot"/>
      </w:r>
      <w:r>
        <w:t>9</w:t>
      </w:r>
    </w:p>
    <w:p w14:paraId="225D7E5C" w14:textId="77777777" w:rsidR="00A74673" w:rsidRDefault="00A74673" w:rsidP="00A74673">
      <w:pPr>
        <w:pStyle w:val="TOC1"/>
        <w:spacing w:after="0"/>
      </w:pPr>
      <w:r>
        <w:t>REVIEWS AND RATE APPROVAL PROCESS</w:t>
      </w:r>
      <w:r>
        <w:ptab w:relativeTo="margin" w:alignment="right" w:leader="dot"/>
      </w:r>
      <w:r>
        <w:t>10</w:t>
      </w:r>
    </w:p>
    <w:p w14:paraId="77C554F4" w14:textId="77777777" w:rsidR="00A74673" w:rsidRDefault="00A74673" w:rsidP="00A74673">
      <w:pPr>
        <w:pStyle w:val="TOC1"/>
        <w:spacing w:after="0"/>
        <w:ind w:firstLine="720"/>
      </w:pPr>
      <w:r>
        <w:t>University Service Centers Budget Review &amp; Rate Approval</w:t>
      </w:r>
      <w:r>
        <w:ptab w:relativeTo="margin" w:alignment="right" w:leader="dot"/>
      </w:r>
      <w:r>
        <w:t>10</w:t>
      </w:r>
    </w:p>
    <w:p w14:paraId="6859040F" w14:textId="77777777" w:rsidR="00A74673" w:rsidRDefault="00A74673" w:rsidP="00A74673">
      <w:pPr>
        <w:pStyle w:val="TOC1"/>
        <w:spacing w:after="0"/>
        <w:ind w:firstLine="720"/>
      </w:pPr>
      <w:r>
        <w:t>Departmental Service Centers Budget Review &amp; Rate Approval</w:t>
      </w:r>
      <w:r>
        <w:ptab w:relativeTo="margin" w:alignment="right" w:leader="dot"/>
      </w:r>
      <w:r>
        <w:t>10</w:t>
      </w:r>
    </w:p>
    <w:p w14:paraId="39FD912F" w14:textId="77777777" w:rsidR="00A74673" w:rsidRDefault="00A74673" w:rsidP="00A74673">
      <w:pPr>
        <w:pStyle w:val="TOC1"/>
        <w:spacing w:after="120"/>
        <w:ind w:firstLine="720"/>
      </w:pPr>
      <w:r>
        <w:t>Annual Financial Review</w:t>
      </w:r>
      <w:r>
        <w:ptab w:relativeTo="margin" w:alignment="right" w:leader="dot"/>
      </w:r>
      <w:r>
        <w:t>10</w:t>
      </w:r>
    </w:p>
    <w:p w14:paraId="4FB79AD4" w14:textId="77777777" w:rsidR="00A74673" w:rsidRDefault="00A74673" w:rsidP="00A74673">
      <w:pPr>
        <w:pStyle w:val="TOC1"/>
        <w:spacing w:after="120"/>
      </w:pPr>
      <w:r>
        <w:t>BUDGETING FOR SERVICE CENTERS</w:t>
      </w:r>
      <w:r>
        <w:ptab w:relativeTo="margin" w:alignment="right" w:leader="dot"/>
      </w:r>
      <w:r>
        <w:t>11-12</w:t>
      </w:r>
    </w:p>
    <w:p w14:paraId="51BBA04A" w14:textId="77777777" w:rsidR="00A74673" w:rsidRDefault="00A74673" w:rsidP="00A74673">
      <w:pPr>
        <w:pStyle w:val="TOC1"/>
        <w:spacing w:after="0"/>
        <w:rPr>
          <w:bCs/>
        </w:rPr>
      </w:pPr>
      <w:r w:rsidRPr="00A12858">
        <w:t>RATE DEVELOPMENT</w:t>
      </w:r>
      <w:r w:rsidRPr="00A12858">
        <w:ptab w:relativeTo="margin" w:alignment="right" w:leader="dot"/>
      </w:r>
      <w:r>
        <w:rPr>
          <w:bCs/>
        </w:rPr>
        <w:t>13-15</w:t>
      </w:r>
    </w:p>
    <w:p w14:paraId="26011897" w14:textId="77777777" w:rsidR="00A74673" w:rsidRDefault="00A74673" w:rsidP="00A74673">
      <w:pPr>
        <w:pStyle w:val="TOC1"/>
        <w:spacing w:after="0"/>
        <w:ind w:firstLine="720"/>
      </w:pPr>
      <w:r>
        <w:t>Regulations &amp; Policies</w:t>
      </w:r>
      <w:r>
        <w:ptab w:relativeTo="margin" w:alignment="right" w:leader="dot"/>
      </w:r>
      <w:r w:rsidR="00357425">
        <w:t>13</w:t>
      </w:r>
    </w:p>
    <w:p w14:paraId="13192D4D" w14:textId="77777777" w:rsidR="00A74673" w:rsidRDefault="00A74673" w:rsidP="00A74673">
      <w:pPr>
        <w:pStyle w:val="TOC1"/>
        <w:spacing w:after="0"/>
        <w:ind w:firstLine="720"/>
      </w:pPr>
      <w:r>
        <w:t>Break-Even Period</w:t>
      </w:r>
      <w:r>
        <w:ptab w:relativeTo="margin" w:alignment="right" w:leader="dot"/>
      </w:r>
      <w:r w:rsidR="00357425">
        <w:t>14</w:t>
      </w:r>
    </w:p>
    <w:p w14:paraId="47EBB1A6" w14:textId="77777777" w:rsidR="00A74673" w:rsidRDefault="00A74673" w:rsidP="00A74673">
      <w:pPr>
        <w:pStyle w:val="TOC1"/>
        <w:spacing w:after="0"/>
        <w:ind w:firstLine="720"/>
      </w:pPr>
      <w:r>
        <w:t>Rate Calculations</w:t>
      </w:r>
      <w:r>
        <w:ptab w:relativeTo="margin" w:alignment="right" w:leader="dot"/>
      </w:r>
      <w:r w:rsidR="00357425">
        <w:t>14</w:t>
      </w:r>
    </w:p>
    <w:p w14:paraId="380AFC81" w14:textId="77777777" w:rsidR="00A74673" w:rsidRDefault="00A74673" w:rsidP="00A74673">
      <w:pPr>
        <w:pStyle w:val="TOC1"/>
        <w:spacing w:after="0"/>
        <w:ind w:firstLine="720"/>
      </w:pPr>
      <w:r>
        <w:t>Surplus &amp; Deficit Carry Forward Balances</w:t>
      </w:r>
      <w:r>
        <w:ptab w:relativeTo="margin" w:alignment="right" w:leader="dot"/>
      </w:r>
      <w:r w:rsidR="00357425">
        <w:t>15</w:t>
      </w:r>
    </w:p>
    <w:p w14:paraId="1885BA7B" w14:textId="77777777" w:rsidR="00A74673" w:rsidRDefault="00A74673" w:rsidP="00A74673">
      <w:pPr>
        <w:pStyle w:val="TOC1"/>
        <w:spacing w:after="120"/>
        <w:ind w:firstLine="720"/>
      </w:pPr>
      <w:r>
        <w:t>Subsidies</w:t>
      </w:r>
      <w:r>
        <w:ptab w:relativeTo="margin" w:alignment="right" w:leader="dot"/>
      </w:r>
      <w:r w:rsidR="00357425">
        <w:t>15</w:t>
      </w:r>
    </w:p>
    <w:p w14:paraId="5D4FBD73" w14:textId="77777777" w:rsidR="00A74673" w:rsidRDefault="00A736A7" w:rsidP="00A74673">
      <w:pPr>
        <w:pStyle w:val="TOC1"/>
        <w:spacing w:after="0"/>
        <w:rPr>
          <w:bCs/>
        </w:rPr>
      </w:pPr>
      <w:r>
        <w:t>RECORDING FINANCIAL ACTIVITY</w:t>
      </w:r>
      <w:r w:rsidR="00A74673" w:rsidRPr="00A12858">
        <w:ptab w:relativeTo="margin" w:alignment="right" w:leader="dot"/>
      </w:r>
      <w:r w:rsidR="00A74673">
        <w:rPr>
          <w:bCs/>
        </w:rPr>
        <w:t>16</w:t>
      </w:r>
    </w:p>
    <w:p w14:paraId="5723CA87" w14:textId="77777777" w:rsidR="00A74673" w:rsidRDefault="00357425" w:rsidP="00A74673">
      <w:pPr>
        <w:pStyle w:val="TOC1"/>
        <w:spacing w:after="0"/>
        <w:rPr>
          <w:bCs/>
        </w:rPr>
      </w:pPr>
      <w:r>
        <w:t>DISSOLUTION OF SERVICE CENTER</w:t>
      </w:r>
      <w:r w:rsidR="00A74673" w:rsidRPr="00A12858">
        <w:ptab w:relativeTo="margin" w:alignment="right" w:leader="dot"/>
      </w:r>
      <w:r w:rsidR="00A74673">
        <w:rPr>
          <w:bCs/>
        </w:rPr>
        <w:t>17</w:t>
      </w:r>
    </w:p>
    <w:p w14:paraId="131D9083" w14:textId="77777777" w:rsidR="00A736A7" w:rsidRDefault="00A736A7" w:rsidP="00A736A7">
      <w:pPr>
        <w:pStyle w:val="TOC1"/>
        <w:spacing w:after="0"/>
        <w:rPr>
          <w:bCs/>
        </w:rPr>
      </w:pPr>
      <w:r>
        <w:t xml:space="preserve">SERVICE CENTER QUESTIONNAIRE </w:t>
      </w:r>
      <w:r w:rsidRPr="00A12858">
        <w:ptab w:relativeTo="margin" w:alignment="right" w:leader="dot"/>
      </w:r>
      <w:r>
        <w:rPr>
          <w:bCs/>
        </w:rPr>
        <w:t>18-24</w:t>
      </w:r>
    </w:p>
    <w:p w14:paraId="703DA18B" w14:textId="77777777" w:rsidR="00A736A7" w:rsidRDefault="00A736A7" w:rsidP="00E407E8">
      <w:pPr>
        <w:pStyle w:val="PlainText"/>
        <w:rPr>
          <w:rFonts w:ascii="Arial" w:hAnsi="Arial" w:cs="Arial"/>
          <w:b/>
          <w:sz w:val="32"/>
          <w:szCs w:val="32"/>
        </w:rPr>
      </w:pPr>
    </w:p>
    <w:p w14:paraId="076B34EE" w14:textId="77777777" w:rsidR="00A736A7" w:rsidRDefault="00A736A7" w:rsidP="00E407E8">
      <w:pPr>
        <w:pStyle w:val="PlainText"/>
        <w:rPr>
          <w:rFonts w:ascii="Arial" w:hAnsi="Arial" w:cs="Arial"/>
          <w:b/>
          <w:sz w:val="32"/>
          <w:szCs w:val="32"/>
        </w:rPr>
      </w:pPr>
    </w:p>
    <w:p w14:paraId="36DA4370" w14:textId="77777777" w:rsidR="00E407E8" w:rsidRDefault="00A33F3C" w:rsidP="00E407E8">
      <w:pPr>
        <w:pStyle w:val="PlainText"/>
        <w:rPr>
          <w:rFonts w:ascii="Arial" w:hAnsi="Arial" w:cs="Arial"/>
          <w:b/>
          <w:sz w:val="32"/>
          <w:szCs w:val="32"/>
        </w:rPr>
      </w:pPr>
      <w:r>
        <w:rPr>
          <w:rFonts w:ascii="Arial" w:hAnsi="Arial" w:cs="Arial"/>
          <w:b/>
          <w:sz w:val="32"/>
          <w:szCs w:val="32"/>
        </w:rPr>
        <w:lastRenderedPageBreak/>
        <w:t>MANUAL PURPOSE</w:t>
      </w:r>
    </w:p>
    <w:p w14:paraId="6E59E345" w14:textId="77777777" w:rsidR="00E407E8" w:rsidRPr="00762AC4" w:rsidRDefault="00E407E8" w:rsidP="00E407E8">
      <w:pPr>
        <w:pStyle w:val="PlainText"/>
        <w:rPr>
          <w:rFonts w:ascii="Arial" w:hAnsi="Arial" w:cs="Arial"/>
          <w:sz w:val="22"/>
          <w:szCs w:val="22"/>
        </w:rPr>
      </w:pPr>
    </w:p>
    <w:p w14:paraId="0970C821" w14:textId="77777777" w:rsidR="00E407E8" w:rsidRDefault="00E407E8" w:rsidP="00E407E8">
      <w:pPr>
        <w:pStyle w:val="PlainText"/>
        <w:rPr>
          <w:rFonts w:ascii="Arial" w:hAnsi="Arial" w:cs="Arial"/>
          <w:sz w:val="22"/>
          <w:szCs w:val="22"/>
        </w:rPr>
      </w:pPr>
      <w:r>
        <w:rPr>
          <w:rFonts w:ascii="Arial" w:hAnsi="Arial" w:cs="Arial"/>
          <w:sz w:val="22"/>
          <w:szCs w:val="22"/>
        </w:rPr>
        <w:t>The University of Cincinnati’s Service Center Policy and P</w:t>
      </w:r>
      <w:r w:rsidR="00893673">
        <w:rPr>
          <w:rFonts w:ascii="Arial" w:hAnsi="Arial" w:cs="Arial"/>
          <w:sz w:val="22"/>
          <w:szCs w:val="22"/>
        </w:rPr>
        <w:t xml:space="preserve">rocedures manual was developed </w:t>
      </w:r>
      <w:r>
        <w:rPr>
          <w:rFonts w:ascii="Arial" w:hAnsi="Arial" w:cs="Arial"/>
          <w:sz w:val="22"/>
          <w:szCs w:val="22"/>
        </w:rPr>
        <w:t xml:space="preserve">in accordance with the University of Cincinnati policy for </w:t>
      </w:r>
      <w:hyperlink r:id="rId8" w:history="1">
        <w:r w:rsidRPr="001979B3">
          <w:rPr>
            <w:rStyle w:val="Hyperlink"/>
            <w:rFonts w:ascii="Arial" w:hAnsi="Arial" w:cs="Arial"/>
            <w:sz w:val="22"/>
            <w:szCs w:val="22"/>
          </w:rPr>
          <w:t>Service Centers (Policy 2.1.24)</w:t>
        </w:r>
      </w:hyperlink>
      <w:r>
        <w:rPr>
          <w:rFonts w:ascii="Arial" w:hAnsi="Arial" w:cs="Arial"/>
          <w:sz w:val="22"/>
          <w:szCs w:val="22"/>
        </w:rPr>
        <w:t xml:space="preserve"> to ensure compliance with federal and state regulations and to establish standard accounting principles. Service Centers must comply with federal regulations established in the </w:t>
      </w:r>
      <w:hyperlink r:id="rId9" w:history="1">
        <w:r w:rsidRPr="005B053F">
          <w:rPr>
            <w:rStyle w:val="Hyperlink"/>
            <w:rFonts w:ascii="Arial" w:hAnsi="Arial" w:cs="Arial"/>
            <w:sz w:val="22"/>
            <w:szCs w:val="22"/>
          </w:rPr>
          <w:t>Uniform Requirements Cost Principles and Audit Requirements for Federal Awards (2 C.F.R Part 200)</w:t>
        </w:r>
      </w:hyperlink>
      <w:r>
        <w:rPr>
          <w:rFonts w:ascii="Arial" w:hAnsi="Arial" w:cs="Arial"/>
          <w:sz w:val="22"/>
          <w:szCs w:val="22"/>
        </w:rPr>
        <w:t>. Service Centers must also comply with the University of Cincinnati Service Center Policies and Procedures established within this manual</w:t>
      </w:r>
      <w:r w:rsidR="00CA0181">
        <w:rPr>
          <w:rFonts w:ascii="Arial" w:hAnsi="Arial" w:cs="Arial"/>
          <w:sz w:val="22"/>
          <w:szCs w:val="22"/>
        </w:rPr>
        <w:t xml:space="preserve">. </w:t>
      </w:r>
    </w:p>
    <w:p w14:paraId="46BA496B" w14:textId="77777777" w:rsidR="00CA0181" w:rsidRDefault="00CA0181" w:rsidP="00E407E8">
      <w:pPr>
        <w:pStyle w:val="PlainText"/>
        <w:rPr>
          <w:rFonts w:ascii="Arial" w:hAnsi="Arial" w:cs="Arial"/>
          <w:sz w:val="22"/>
          <w:szCs w:val="22"/>
        </w:rPr>
      </w:pPr>
    </w:p>
    <w:p w14:paraId="739F66E2" w14:textId="77777777" w:rsidR="00E407E8" w:rsidRDefault="00893673" w:rsidP="00E407E8">
      <w:pPr>
        <w:pStyle w:val="PlainText"/>
        <w:rPr>
          <w:rFonts w:ascii="Arial" w:hAnsi="Arial" w:cs="Arial"/>
          <w:sz w:val="22"/>
          <w:szCs w:val="22"/>
        </w:rPr>
      </w:pPr>
      <w:r>
        <w:rPr>
          <w:rFonts w:ascii="Arial" w:hAnsi="Arial" w:cs="Arial"/>
          <w:sz w:val="22"/>
          <w:szCs w:val="22"/>
        </w:rPr>
        <w:t>The University of Cincinnati Service Center Policies and Procedures</w:t>
      </w:r>
      <w:r w:rsidR="00E407E8" w:rsidRPr="00F73DD7">
        <w:rPr>
          <w:rFonts w:ascii="Arial" w:hAnsi="Arial" w:cs="Arial"/>
          <w:sz w:val="22"/>
          <w:szCs w:val="22"/>
        </w:rPr>
        <w:t xml:space="preserve"> </w:t>
      </w:r>
      <w:r>
        <w:rPr>
          <w:rFonts w:ascii="Arial" w:hAnsi="Arial" w:cs="Arial"/>
          <w:sz w:val="22"/>
          <w:szCs w:val="22"/>
        </w:rPr>
        <w:t>M</w:t>
      </w:r>
      <w:r w:rsidR="00E407E8" w:rsidRPr="00F73DD7">
        <w:rPr>
          <w:rFonts w:ascii="Arial" w:hAnsi="Arial" w:cs="Arial"/>
          <w:sz w:val="22"/>
          <w:szCs w:val="22"/>
        </w:rPr>
        <w:t>anual</w:t>
      </w:r>
      <w:r w:rsidR="00E407E8">
        <w:rPr>
          <w:rFonts w:ascii="Arial" w:hAnsi="Arial" w:cs="Arial"/>
          <w:sz w:val="22"/>
          <w:szCs w:val="22"/>
        </w:rPr>
        <w:t xml:space="preserve"> provides </w:t>
      </w:r>
      <w:r w:rsidR="003246FD">
        <w:rPr>
          <w:rFonts w:ascii="Arial" w:hAnsi="Arial" w:cs="Arial"/>
          <w:sz w:val="22"/>
          <w:szCs w:val="22"/>
        </w:rPr>
        <w:t>criteria</w:t>
      </w:r>
      <w:r w:rsidR="00E407E8">
        <w:rPr>
          <w:rFonts w:ascii="Arial" w:hAnsi="Arial" w:cs="Arial"/>
          <w:sz w:val="22"/>
          <w:szCs w:val="22"/>
        </w:rPr>
        <w:t xml:space="preserve"> on establishing, maintaining and accounting for Service Centers in accordance with University policy and federal regulations. </w:t>
      </w:r>
      <w:r w:rsidR="00E407E8" w:rsidRPr="00F73DD7">
        <w:rPr>
          <w:rFonts w:ascii="Arial" w:hAnsi="Arial" w:cs="Arial"/>
          <w:sz w:val="22"/>
          <w:szCs w:val="22"/>
        </w:rPr>
        <w:t>I</w:t>
      </w:r>
      <w:r w:rsidR="00E407E8">
        <w:rPr>
          <w:rFonts w:ascii="Arial" w:hAnsi="Arial" w:cs="Arial"/>
          <w:sz w:val="22"/>
          <w:szCs w:val="22"/>
        </w:rPr>
        <w:t>t do</w:t>
      </w:r>
      <w:r w:rsidR="00CA0181">
        <w:rPr>
          <w:rFonts w:ascii="Arial" w:hAnsi="Arial" w:cs="Arial"/>
          <w:sz w:val="22"/>
          <w:szCs w:val="22"/>
        </w:rPr>
        <w:t xml:space="preserve">es not include </w:t>
      </w:r>
      <w:r w:rsidR="00E407E8" w:rsidRPr="00F73DD7">
        <w:rPr>
          <w:rFonts w:ascii="Arial" w:hAnsi="Arial" w:cs="Arial"/>
          <w:sz w:val="22"/>
          <w:szCs w:val="22"/>
        </w:rPr>
        <w:t>procedures for processing</w:t>
      </w:r>
      <w:r w:rsidR="00E407E8">
        <w:rPr>
          <w:rFonts w:ascii="Arial" w:hAnsi="Arial" w:cs="Arial"/>
          <w:sz w:val="22"/>
          <w:szCs w:val="22"/>
        </w:rPr>
        <w:t xml:space="preserve"> Service Center</w:t>
      </w:r>
      <w:r w:rsidR="00E407E8" w:rsidRPr="00F73DD7">
        <w:rPr>
          <w:rFonts w:ascii="Arial" w:hAnsi="Arial" w:cs="Arial"/>
          <w:sz w:val="22"/>
          <w:szCs w:val="22"/>
        </w:rPr>
        <w:t xml:space="preserve"> </w:t>
      </w:r>
      <w:r w:rsidR="00E407E8">
        <w:rPr>
          <w:rFonts w:ascii="Arial" w:hAnsi="Arial" w:cs="Arial"/>
          <w:sz w:val="22"/>
          <w:szCs w:val="22"/>
        </w:rPr>
        <w:t>financial activities</w:t>
      </w:r>
      <w:r>
        <w:rPr>
          <w:rFonts w:ascii="Arial" w:hAnsi="Arial" w:cs="Arial"/>
          <w:sz w:val="22"/>
          <w:szCs w:val="22"/>
        </w:rPr>
        <w:t xml:space="preserve">. These are </w:t>
      </w:r>
      <w:r w:rsidR="00E407E8" w:rsidRPr="00F73DD7">
        <w:rPr>
          <w:rFonts w:ascii="Arial" w:hAnsi="Arial" w:cs="Arial"/>
          <w:sz w:val="22"/>
          <w:szCs w:val="22"/>
        </w:rPr>
        <w:t>covered in the "Uni</w:t>
      </w:r>
      <w:r w:rsidR="00E407E8">
        <w:rPr>
          <w:rFonts w:ascii="Arial" w:hAnsi="Arial" w:cs="Arial"/>
          <w:sz w:val="22"/>
          <w:szCs w:val="22"/>
        </w:rPr>
        <w:t>versity of Cincinnati Service Center Recharge Accounting Procedures</w:t>
      </w:r>
      <w:r w:rsidR="00E407E8" w:rsidRPr="00F73DD7">
        <w:rPr>
          <w:rFonts w:ascii="Arial" w:hAnsi="Arial" w:cs="Arial"/>
          <w:sz w:val="22"/>
          <w:szCs w:val="22"/>
        </w:rPr>
        <w:t xml:space="preserve">" manual.  </w:t>
      </w:r>
    </w:p>
    <w:p w14:paraId="453AE436" w14:textId="77777777" w:rsidR="00E407E8" w:rsidRDefault="00E407E8" w:rsidP="00E407E8">
      <w:pPr>
        <w:pStyle w:val="PlainText"/>
        <w:rPr>
          <w:rFonts w:ascii="Arial" w:hAnsi="Arial" w:cs="Arial"/>
          <w:sz w:val="22"/>
          <w:szCs w:val="22"/>
        </w:rPr>
      </w:pPr>
    </w:p>
    <w:p w14:paraId="7F51CC0C" w14:textId="77777777" w:rsidR="00E407E8" w:rsidRPr="00F73DD7" w:rsidRDefault="00E407E8" w:rsidP="00E407E8">
      <w:pPr>
        <w:pStyle w:val="PlainText"/>
        <w:rPr>
          <w:rFonts w:ascii="Arial" w:hAnsi="Arial" w:cs="Arial"/>
          <w:sz w:val="22"/>
          <w:szCs w:val="22"/>
        </w:rPr>
      </w:pPr>
    </w:p>
    <w:p w14:paraId="000DDFCD" w14:textId="77777777" w:rsidR="00E407E8" w:rsidRPr="00F73DD7" w:rsidRDefault="00E407E8" w:rsidP="00E407E8">
      <w:pPr>
        <w:pStyle w:val="PlainText"/>
        <w:ind w:left="555"/>
        <w:rPr>
          <w:rFonts w:ascii="Arial" w:hAnsi="Arial" w:cs="Arial"/>
          <w:sz w:val="22"/>
          <w:szCs w:val="22"/>
        </w:rPr>
      </w:pPr>
    </w:p>
    <w:p w14:paraId="2F4F5D44" w14:textId="77777777" w:rsidR="00E407E8" w:rsidRDefault="00E407E8" w:rsidP="00E407E8">
      <w:pPr>
        <w:pStyle w:val="PlainText"/>
        <w:jc w:val="center"/>
        <w:rPr>
          <w:rFonts w:ascii="Arial" w:hAnsi="Arial" w:cs="Arial"/>
          <w:b/>
          <w:sz w:val="22"/>
          <w:szCs w:val="22"/>
          <w:u w:val="single"/>
        </w:rPr>
      </w:pPr>
      <w:r w:rsidRPr="00E407E8">
        <w:rPr>
          <w:rFonts w:ascii="Arial" w:hAnsi="Arial" w:cs="Arial"/>
          <w:b/>
          <w:sz w:val="22"/>
          <w:szCs w:val="22"/>
          <w:u w:val="single"/>
        </w:rPr>
        <w:t>Key Federal Compliance Requirements</w:t>
      </w:r>
    </w:p>
    <w:p w14:paraId="12B9D079" w14:textId="77777777" w:rsidR="00E407E8" w:rsidRPr="00E407E8" w:rsidRDefault="00E407E8" w:rsidP="00E407E8">
      <w:pPr>
        <w:pStyle w:val="PlainText"/>
        <w:rPr>
          <w:rFonts w:ascii="Arial" w:hAnsi="Arial" w:cs="Arial"/>
          <w:b/>
          <w:sz w:val="22"/>
          <w:szCs w:val="22"/>
          <w:u w:val="single"/>
        </w:rPr>
      </w:pPr>
    </w:p>
    <w:p w14:paraId="7D7F801B" w14:textId="77777777" w:rsidR="00E407E8" w:rsidRDefault="00E407E8" w:rsidP="00E407E8">
      <w:pPr>
        <w:pStyle w:val="PlainText"/>
        <w:numPr>
          <w:ilvl w:val="0"/>
          <w:numId w:val="4"/>
        </w:numPr>
        <w:rPr>
          <w:rFonts w:ascii="Arial" w:hAnsi="Arial" w:cs="Arial"/>
          <w:sz w:val="22"/>
          <w:szCs w:val="22"/>
        </w:rPr>
      </w:pPr>
      <w:r>
        <w:rPr>
          <w:rFonts w:ascii="Arial" w:hAnsi="Arial" w:cs="Arial"/>
          <w:sz w:val="22"/>
          <w:szCs w:val="22"/>
        </w:rPr>
        <w:t>Rates should recover no more than the cost of the good or service.</w:t>
      </w:r>
    </w:p>
    <w:p w14:paraId="1F6276F5" w14:textId="77777777" w:rsidR="00E407E8" w:rsidRDefault="00E407E8" w:rsidP="00E407E8">
      <w:pPr>
        <w:pStyle w:val="PlainText"/>
        <w:numPr>
          <w:ilvl w:val="0"/>
          <w:numId w:val="4"/>
        </w:numPr>
        <w:rPr>
          <w:rFonts w:ascii="Arial" w:hAnsi="Arial" w:cs="Arial"/>
          <w:sz w:val="22"/>
          <w:szCs w:val="22"/>
        </w:rPr>
      </w:pPr>
      <w:r>
        <w:rPr>
          <w:rFonts w:ascii="Arial" w:hAnsi="Arial" w:cs="Arial"/>
          <w:sz w:val="22"/>
          <w:szCs w:val="22"/>
        </w:rPr>
        <w:t>Rates must break-even over time, not necessarily each year.</w:t>
      </w:r>
    </w:p>
    <w:p w14:paraId="1F7A6541" w14:textId="77777777" w:rsidR="00E407E8" w:rsidRDefault="00893673" w:rsidP="00E407E8">
      <w:pPr>
        <w:pStyle w:val="PlainText"/>
        <w:numPr>
          <w:ilvl w:val="0"/>
          <w:numId w:val="4"/>
        </w:numPr>
        <w:rPr>
          <w:rFonts w:ascii="Arial" w:hAnsi="Arial" w:cs="Arial"/>
          <w:sz w:val="22"/>
          <w:szCs w:val="22"/>
        </w:rPr>
      </w:pPr>
      <w:r>
        <w:rPr>
          <w:rFonts w:ascii="Arial" w:hAnsi="Arial" w:cs="Arial"/>
          <w:sz w:val="22"/>
          <w:szCs w:val="22"/>
        </w:rPr>
        <w:t xml:space="preserve">Rates </w:t>
      </w:r>
      <w:r w:rsidR="00357425">
        <w:rPr>
          <w:rFonts w:ascii="Arial" w:hAnsi="Arial" w:cs="Arial"/>
          <w:sz w:val="22"/>
          <w:szCs w:val="22"/>
        </w:rPr>
        <w:t>cannot</w:t>
      </w:r>
      <w:r w:rsidR="00E407E8">
        <w:rPr>
          <w:rFonts w:ascii="Arial" w:hAnsi="Arial" w:cs="Arial"/>
          <w:sz w:val="22"/>
          <w:szCs w:val="22"/>
        </w:rPr>
        <w:t xml:space="preserve"> discriminate between users, especially federal users.</w:t>
      </w:r>
    </w:p>
    <w:p w14:paraId="358B36B2" w14:textId="77777777" w:rsidR="00E407E8" w:rsidRDefault="00E407E8" w:rsidP="00E407E8">
      <w:pPr>
        <w:pStyle w:val="PlainText"/>
        <w:numPr>
          <w:ilvl w:val="0"/>
          <w:numId w:val="4"/>
        </w:numPr>
        <w:rPr>
          <w:rFonts w:ascii="Arial" w:hAnsi="Arial" w:cs="Arial"/>
          <w:sz w:val="22"/>
          <w:szCs w:val="22"/>
        </w:rPr>
      </w:pPr>
      <w:r>
        <w:rPr>
          <w:rFonts w:ascii="Arial" w:hAnsi="Arial" w:cs="Arial"/>
          <w:sz w:val="22"/>
          <w:szCs w:val="22"/>
        </w:rPr>
        <w:t xml:space="preserve">Surplus from one service center </w:t>
      </w:r>
      <w:r w:rsidR="00357425">
        <w:rPr>
          <w:rFonts w:ascii="Arial" w:hAnsi="Arial" w:cs="Arial"/>
          <w:sz w:val="22"/>
          <w:szCs w:val="22"/>
        </w:rPr>
        <w:t>cannot</w:t>
      </w:r>
      <w:r w:rsidR="00893673">
        <w:rPr>
          <w:rFonts w:ascii="Arial" w:hAnsi="Arial" w:cs="Arial"/>
          <w:sz w:val="22"/>
          <w:szCs w:val="22"/>
        </w:rPr>
        <w:t xml:space="preserve"> be </w:t>
      </w:r>
      <w:r>
        <w:rPr>
          <w:rFonts w:ascii="Arial" w:hAnsi="Arial" w:cs="Arial"/>
          <w:sz w:val="22"/>
          <w:szCs w:val="22"/>
        </w:rPr>
        <w:t>used to fund unrelated activities.</w:t>
      </w:r>
    </w:p>
    <w:p w14:paraId="38BE1A77" w14:textId="28F444CE" w:rsidR="00E407E8" w:rsidRDefault="00E407E8" w:rsidP="00E407E8">
      <w:pPr>
        <w:pStyle w:val="PlainText"/>
        <w:numPr>
          <w:ilvl w:val="0"/>
          <w:numId w:val="4"/>
        </w:numPr>
        <w:rPr>
          <w:rFonts w:ascii="Arial" w:hAnsi="Arial" w:cs="Arial"/>
          <w:sz w:val="22"/>
          <w:szCs w:val="22"/>
        </w:rPr>
      </w:pPr>
      <w:r>
        <w:rPr>
          <w:rFonts w:ascii="Arial" w:hAnsi="Arial" w:cs="Arial"/>
          <w:sz w:val="22"/>
          <w:szCs w:val="22"/>
        </w:rPr>
        <w:t>Must maintain published price list.</w:t>
      </w:r>
    </w:p>
    <w:p w14:paraId="700A0BDD" w14:textId="2994DE24" w:rsidR="00E407E8" w:rsidRDefault="00E407E8" w:rsidP="00E407E8">
      <w:pPr>
        <w:pStyle w:val="PlainText"/>
        <w:numPr>
          <w:ilvl w:val="0"/>
          <w:numId w:val="4"/>
        </w:numPr>
        <w:rPr>
          <w:rFonts w:ascii="Arial" w:hAnsi="Arial" w:cs="Arial"/>
          <w:sz w:val="22"/>
          <w:szCs w:val="22"/>
        </w:rPr>
      </w:pPr>
      <w:r>
        <w:rPr>
          <w:rFonts w:ascii="Arial" w:hAnsi="Arial" w:cs="Arial"/>
          <w:sz w:val="22"/>
          <w:szCs w:val="22"/>
        </w:rPr>
        <w:t>Equipment use (depreciation) may</w:t>
      </w:r>
      <w:r w:rsidR="007367A3">
        <w:rPr>
          <w:rFonts w:ascii="Arial" w:hAnsi="Arial" w:cs="Arial"/>
          <w:sz w:val="22"/>
          <w:szCs w:val="22"/>
        </w:rPr>
        <w:t>, but is not required to be</w:t>
      </w:r>
      <w:r>
        <w:rPr>
          <w:rFonts w:ascii="Arial" w:hAnsi="Arial" w:cs="Arial"/>
          <w:sz w:val="22"/>
          <w:szCs w:val="22"/>
        </w:rPr>
        <w:t xml:space="preserve"> included in the rate, so long as the equipment </w:t>
      </w:r>
      <w:r w:rsidR="00893673">
        <w:rPr>
          <w:rFonts w:ascii="Arial" w:hAnsi="Arial" w:cs="Arial"/>
          <w:sz w:val="22"/>
          <w:szCs w:val="22"/>
        </w:rPr>
        <w:t>was not</w:t>
      </w:r>
      <w:r>
        <w:rPr>
          <w:rFonts w:ascii="Arial" w:hAnsi="Arial" w:cs="Arial"/>
          <w:sz w:val="22"/>
          <w:szCs w:val="22"/>
        </w:rPr>
        <w:t xml:space="preserve"> purchased with </w:t>
      </w:r>
      <w:r w:rsidR="00893673">
        <w:rPr>
          <w:rFonts w:ascii="Arial" w:hAnsi="Arial" w:cs="Arial"/>
          <w:sz w:val="22"/>
          <w:szCs w:val="22"/>
        </w:rPr>
        <w:t>federal funds</w:t>
      </w:r>
      <w:r>
        <w:rPr>
          <w:rFonts w:ascii="Arial" w:hAnsi="Arial" w:cs="Arial"/>
          <w:sz w:val="22"/>
          <w:szCs w:val="22"/>
        </w:rPr>
        <w:t>.</w:t>
      </w:r>
    </w:p>
    <w:p w14:paraId="4C7605CF" w14:textId="0D22CC28" w:rsidR="00E407E8" w:rsidRDefault="00A313D5" w:rsidP="00E407E8">
      <w:pPr>
        <w:pStyle w:val="PlainText"/>
        <w:numPr>
          <w:ilvl w:val="0"/>
          <w:numId w:val="4"/>
        </w:numPr>
        <w:rPr>
          <w:rFonts w:ascii="Arial" w:hAnsi="Arial" w:cs="Arial"/>
          <w:sz w:val="22"/>
          <w:szCs w:val="22"/>
        </w:rPr>
      </w:pPr>
      <w:r>
        <w:rPr>
          <w:rFonts w:ascii="Arial" w:hAnsi="Arial" w:cs="Arial"/>
          <w:sz w:val="22"/>
          <w:szCs w:val="22"/>
        </w:rPr>
        <w:t>Capital Assets</w:t>
      </w:r>
      <w:r w:rsidR="00E407E8">
        <w:rPr>
          <w:rFonts w:ascii="Arial" w:hAnsi="Arial" w:cs="Arial"/>
          <w:sz w:val="22"/>
          <w:szCs w:val="22"/>
        </w:rPr>
        <w:t xml:space="preserve"> must be spread over the useful life (instead of one year) </w:t>
      </w:r>
      <w:r>
        <w:rPr>
          <w:rFonts w:ascii="Arial" w:hAnsi="Arial" w:cs="Arial"/>
          <w:sz w:val="22"/>
          <w:szCs w:val="22"/>
        </w:rPr>
        <w:t xml:space="preserve">for equipment </w:t>
      </w:r>
      <w:r w:rsidR="00E407E8">
        <w:rPr>
          <w:rFonts w:ascii="Arial" w:hAnsi="Arial" w:cs="Arial"/>
          <w:sz w:val="22"/>
          <w:szCs w:val="22"/>
        </w:rPr>
        <w:t>cost</w:t>
      </w:r>
      <w:r>
        <w:rPr>
          <w:rFonts w:ascii="Arial" w:hAnsi="Arial" w:cs="Arial"/>
          <w:sz w:val="22"/>
          <w:szCs w:val="22"/>
        </w:rPr>
        <w:t>s</w:t>
      </w:r>
      <w:r w:rsidR="00E407E8">
        <w:rPr>
          <w:rFonts w:ascii="Arial" w:hAnsi="Arial" w:cs="Arial"/>
          <w:sz w:val="22"/>
          <w:szCs w:val="22"/>
        </w:rPr>
        <w:t xml:space="preserve"> </w:t>
      </w:r>
      <w:r>
        <w:rPr>
          <w:rFonts w:ascii="Arial" w:hAnsi="Arial" w:cs="Arial"/>
          <w:sz w:val="22"/>
          <w:szCs w:val="22"/>
        </w:rPr>
        <w:t xml:space="preserve">that are </w:t>
      </w:r>
      <w:r w:rsidR="00E407E8">
        <w:rPr>
          <w:rFonts w:ascii="Arial" w:hAnsi="Arial" w:cs="Arial"/>
          <w:sz w:val="22"/>
          <w:szCs w:val="22"/>
        </w:rPr>
        <w:t>greater than $5,000</w:t>
      </w:r>
      <w:r w:rsidR="007367A3">
        <w:rPr>
          <w:rFonts w:ascii="Arial" w:hAnsi="Arial" w:cs="Arial"/>
          <w:sz w:val="22"/>
          <w:szCs w:val="22"/>
        </w:rPr>
        <w:t xml:space="preserve"> and a useful lif</w:t>
      </w:r>
      <w:r>
        <w:rPr>
          <w:rFonts w:ascii="Arial" w:hAnsi="Arial" w:cs="Arial"/>
          <w:sz w:val="22"/>
          <w:szCs w:val="22"/>
        </w:rPr>
        <w:t>e that is greater than one year and for software purchases that are $100,000 or more.</w:t>
      </w:r>
    </w:p>
    <w:p w14:paraId="66C9BF06" w14:textId="77777777" w:rsidR="00E407E8" w:rsidRPr="00E407E8" w:rsidRDefault="00E407E8" w:rsidP="00E407E8">
      <w:pPr>
        <w:rPr>
          <w:rFonts w:ascii="Arial" w:hAnsi="Arial" w:cs="Arial"/>
        </w:rPr>
      </w:pPr>
      <w:r w:rsidRPr="00E407E8">
        <w:rPr>
          <w:rFonts w:ascii="Arial" w:hAnsi="Arial" w:cs="Arial"/>
        </w:rPr>
        <w:br w:type="page"/>
      </w:r>
      <w:r w:rsidRPr="00E407E8">
        <w:rPr>
          <w:rFonts w:ascii="Arial" w:hAnsi="Arial" w:cs="Arial"/>
          <w:b/>
          <w:sz w:val="32"/>
          <w:szCs w:val="32"/>
        </w:rPr>
        <w:t xml:space="preserve">DEFINITIONS </w:t>
      </w:r>
    </w:p>
    <w:p w14:paraId="64B22770" w14:textId="416A76E0" w:rsidR="00E407E8" w:rsidRDefault="00E407E8" w:rsidP="00E407E8">
      <w:pPr>
        <w:pStyle w:val="PlainText"/>
        <w:rPr>
          <w:rFonts w:ascii="Georgia" w:hAnsi="Georgia"/>
          <w:color w:val="424240"/>
          <w:lang w:val="en"/>
        </w:rPr>
      </w:pPr>
      <w:r w:rsidRPr="005B053F">
        <w:rPr>
          <w:rFonts w:ascii="Arial" w:hAnsi="Arial" w:cs="Arial"/>
          <w:b/>
          <w:sz w:val="22"/>
          <w:szCs w:val="22"/>
        </w:rPr>
        <w:t>Recharge Units:</w:t>
      </w:r>
      <w:r>
        <w:rPr>
          <w:rFonts w:ascii="Arial" w:hAnsi="Arial" w:cs="Arial"/>
          <w:sz w:val="22"/>
          <w:szCs w:val="22"/>
        </w:rPr>
        <w:t xml:space="preserve"> </w:t>
      </w:r>
      <w:r w:rsidRPr="00F73DD7">
        <w:rPr>
          <w:rFonts w:ascii="Arial" w:hAnsi="Arial" w:cs="Arial"/>
          <w:sz w:val="22"/>
          <w:szCs w:val="22"/>
        </w:rPr>
        <w:t xml:space="preserve">are </w:t>
      </w:r>
      <w:r>
        <w:rPr>
          <w:rFonts w:ascii="Arial" w:hAnsi="Arial" w:cs="Arial"/>
          <w:sz w:val="22"/>
          <w:szCs w:val="22"/>
        </w:rPr>
        <w:t>units</w:t>
      </w:r>
      <w:r w:rsidRPr="00F73DD7">
        <w:rPr>
          <w:rFonts w:ascii="Arial" w:hAnsi="Arial" w:cs="Arial"/>
          <w:sz w:val="22"/>
          <w:szCs w:val="22"/>
        </w:rPr>
        <w:t xml:space="preserve"> </w:t>
      </w:r>
      <w:r>
        <w:rPr>
          <w:rFonts w:ascii="Arial" w:hAnsi="Arial" w:cs="Arial"/>
          <w:sz w:val="22"/>
          <w:szCs w:val="22"/>
        </w:rPr>
        <w:t xml:space="preserve">that </w:t>
      </w:r>
      <w:r w:rsidRPr="00F73DD7">
        <w:rPr>
          <w:rFonts w:ascii="Arial" w:hAnsi="Arial" w:cs="Arial"/>
          <w:sz w:val="22"/>
          <w:szCs w:val="22"/>
        </w:rPr>
        <w:t>are permitted to charge for services rendered. The</w:t>
      </w:r>
      <w:r>
        <w:rPr>
          <w:rFonts w:ascii="Arial" w:hAnsi="Arial" w:cs="Arial"/>
          <w:sz w:val="22"/>
          <w:szCs w:val="22"/>
        </w:rPr>
        <w:t xml:space="preserve"> </w:t>
      </w:r>
      <w:r w:rsidRPr="00F73DD7">
        <w:rPr>
          <w:rFonts w:ascii="Arial" w:hAnsi="Arial" w:cs="Arial"/>
          <w:sz w:val="22"/>
          <w:szCs w:val="22"/>
        </w:rPr>
        <w:t>charges are intended to recover the costs of providing the service.</w:t>
      </w:r>
      <w:r>
        <w:rPr>
          <w:rFonts w:ascii="Arial" w:hAnsi="Arial" w:cs="Arial"/>
          <w:sz w:val="22"/>
          <w:szCs w:val="22"/>
        </w:rPr>
        <w:t xml:space="preserve">  Units or activit</w:t>
      </w:r>
      <w:r w:rsidR="00301D34">
        <w:rPr>
          <w:rFonts w:ascii="Arial" w:hAnsi="Arial" w:cs="Arial"/>
          <w:sz w:val="22"/>
          <w:szCs w:val="22"/>
        </w:rPr>
        <w:t>ies</w:t>
      </w:r>
      <w:r>
        <w:rPr>
          <w:rFonts w:ascii="Arial" w:hAnsi="Arial" w:cs="Arial"/>
          <w:sz w:val="22"/>
          <w:szCs w:val="22"/>
        </w:rPr>
        <w:t xml:space="preserve"> </w:t>
      </w:r>
      <w:r w:rsidR="007C4E74">
        <w:rPr>
          <w:rFonts w:ascii="Arial" w:hAnsi="Arial" w:cs="Arial"/>
          <w:sz w:val="22"/>
          <w:szCs w:val="22"/>
        </w:rPr>
        <w:t>established for the purpose of</w:t>
      </w:r>
      <w:r>
        <w:rPr>
          <w:rFonts w:ascii="Arial" w:hAnsi="Arial" w:cs="Arial"/>
          <w:sz w:val="22"/>
          <w:szCs w:val="22"/>
        </w:rPr>
        <w:t xml:space="preserve"> developing a rate for services that charge federal users for goods or services must be a Service Center. </w:t>
      </w:r>
      <w:r w:rsidRPr="00F73DD7">
        <w:rPr>
          <w:rFonts w:ascii="Arial" w:hAnsi="Arial" w:cs="Arial"/>
          <w:sz w:val="22"/>
          <w:szCs w:val="22"/>
        </w:rPr>
        <w:t xml:space="preserve"> </w:t>
      </w:r>
    </w:p>
    <w:p w14:paraId="219FE0DC" w14:textId="77777777" w:rsidR="00E407E8" w:rsidRDefault="00E407E8" w:rsidP="00E407E8">
      <w:pPr>
        <w:pStyle w:val="PlainText"/>
        <w:rPr>
          <w:rFonts w:ascii="Georgia" w:hAnsi="Georgia"/>
          <w:color w:val="424240"/>
          <w:lang w:val="en"/>
        </w:rPr>
      </w:pPr>
    </w:p>
    <w:p w14:paraId="0D82245A" w14:textId="77777777" w:rsidR="00E407E8" w:rsidRDefault="00E407E8" w:rsidP="00E407E8">
      <w:pPr>
        <w:pStyle w:val="PlainText"/>
        <w:rPr>
          <w:rFonts w:ascii="Arial" w:hAnsi="Arial" w:cs="Arial"/>
          <w:sz w:val="22"/>
          <w:szCs w:val="22"/>
        </w:rPr>
      </w:pPr>
      <w:r w:rsidRPr="005B053F">
        <w:rPr>
          <w:rFonts w:ascii="Arial" w:hAnsi="Arial" w:cs="Arial"/>
          <w:b/>
          <w:sz w:val="22"/>
          <w:szCs w:val="22"/>
        </w:rPr>
        <w:t>Service Center:</w:t>
      </w:r>
      <w:r w:rsidRPr="00F73DD7">
        <w:rPr>
          <w:rFonts w:ascii="Arial" w:hAnsi="Arial" w:cs="Arial"/>
          <w:sz w:val="22"/>
          <w:szCs w:val="22"/>
        </w:rPr>
        <w:t xml:space="preserve"> </w:t>
      </w:r>
      <w:r>
        <w:rPr>
          <w:rFonts w:ascii="Arial" w:hAnsi="Arial" w:cs="Arial"/>
          <w:sz w:val="22"/>
          <w:szCs w:val="22"/>
        </w:rPr>
        <w:t xml:space="preserve">are </w:t>
      </w:r>
      <w:r w:rsidRPr="00AD4DC1">
        <w:rPr>
          <w:rFonts w:ascii="Arial" w:hAnsi="Arial" w:cs="Arial"/>
          <w:i/>
          <w:sz w:val="22"/>
          <w:szCs w:val="22"/>
        </w:rPr>
        <w:t>Recharge Units</w:t>
      </w:r>
      <w:r>
        <w:rPr>
          <w:rFonts w:ascii="Arial" w:hAnsi="Arial" w:cs="Arial"/>
          <w:sz w:val="22"/>
          <w:szCs w:val="22"/>
        </w:rPr>
        <w:t xml:space="preserve"> within the institution that provide</w:t>
      </w:r>
      <w:r w:rsidRPr="00F73DD7">
        <w:rPr>
          <w:rFonts w:ascii="Arial" w:hAnsi="Arial" w:cs="Arial"/>
          <w:sz w:val="22"/>
          <w:szCs w:val="22"/>
        </w:rPr>
        <w:t xml:space="preserve"> a service</w:t>
      </w:r>
      <w:r>
        <w:rPr>
          <w:rFonts w:ascii="Arial" w:hAnsi="Arial" w:cs="Arial"/>
          <w:sz w:val="22"/>
          <w:szCs w:val="22"/>
        </w:rPr>
        <w:t xml:space="preserve"> or group of services or</w:t>
      </w:r>
      <w:r w:rsidRPr="00F73DD7">
        <w:rPr>
          <w:rFonts w:ascii="Arial" w:hAnsi="Arial" w:cs="Arial"/>
          <w:sz w:val="22"/>
          <w:szCs w:val="22"/>
        </w:rPr>
        <w:t xml:space="preserve"> </w:t>
      </w:r>
      <w:r>
        <w:rPr>
          <w:rFonts w:ascii="Arial" w:hAnsi="Arial" w:cs="Arial"/>
          <w:sz w:val="22"/>
          <w:szCs w:val="22"/>
        </w:rPr>
        <w:t>product or group of products to users within the institution for a fee</w:t>
      </w:r>
      <w:r w:rsidRPr="00092FB4">
        <w:rPr>
          <w:rFonts w:ascii="Arial" w:hAnsi="Arial" w:cs="Arial"/>
          <w:sz w:val="22"/>
          <w:szCs w:val="22"/>
        </w:rPr>
        <w:t xml:space="preserve">. The rates charged by the </w:t>
      </w:r>
      <w:r>
        <w:rPr>
          <w:rFonts w:ascii="Arial" w:hAnsi="Arial" w:cs="Arial"/>
          <w:sz w:val="22"/>
          <w:szCs w:val="22"/>
        </w:rPr>
        <w:t>Service Centers</w:t>
      </w:r>
      <w:r w:rsidRPr="00092FB4">
        <w:rPr>
          <w:rFonts w:ascii="Arial" w:hAnsi="Arial" w:cs="Arial"/>
          <w:sz w:val="22"/>
          <w:szCs w:val="22"/>
        </w:rPr>
        <w:t xml:space="preserve"> are calculated so that the center recovers its costs. The University has two types of Service Centers: </w:t>
      </w:r>
    </w:p>
    <w:p w14:paraId="54B94EA9" w14:textId="77777777" w:rsidR="00E407E8" w:rsidRPr="00AD4DC1" w:rsidRDefault="00E407E8" w:rsidP="00E407E8">
      <w:pPr>
        <w:pStyle w:val="PlainText"/>
        <w:rPr>
          <w:rFonts w:ascii="Arial" w:hAnsi="Arial" w:cs="Arial"/>
          <w:b/>
          <w:sz w:val="22"/>
          <w:szCs w:val="22"/>
        </w:rPr>
      </w:pPr>
    </w:p>
    <w:p w14:paraId="640B8B8C" w14:textId="79FF57DF" w:rsidR="00E407E8" w:rsidRDefault="00E407E8" w:rsidP="00E407E8">
      <w:pPr>
        <w:pStyle w:val="PlainText"/>
        <w:numPr>
          <w:ilvl w:val="0"/>
          <w:numId w:val="2"/>
        </w:numPr>
        <w:rPr>
          <w:rFonts w:ascii="Arial" w:hAnsi="Arial" w:cs="Arial"/>
          <w:sz w:val="22"/>
          <w:szCs w:val="22"/>
        </w:rPr>
      </w:pPr>
      <w:r w:rsidRPr="00AD4DC1">
        <w:rPr>
          <w:rFonts w:ascii="Arial" w:hAnsi="Arial" w:cs="Arial"/>
          <w:b/>
          <w:sz w:val="22"/>
          <w:szCs w:val="22"/>
        </w:rPr>
        <w:t>University Service Center:</w:t>
      </w:r>
      <w:r>
        <w:rPr>
          <w:rFonts w:ascii="Arial" w:hAnsi="Arial" w:cs="Arial"/>
          <w:sz w:val="22"/>
          <w:szCs w:val="22"/>
        </w:rPr>
        <w:t xml:space="preserve"> are </w:t>
      </w:r>
      <w:r w:rsidRPr="00AD4DC1">
        <w:rPr>
          <w:rFonts w:ascii="Arial" w:hAnsi="Arial" w:cs="Arial"/>
          <w:i/>
          <w:sz w:val="22"/>
          <w:szCs w:val="22"/>
        </w:rPr>
        <w:t>Recharge Units</w:t>
      </w:r>
      <w:r>
        <w:rPr>
          <w:rFonts w:ascii="Arial" w:hAnsi="Arial" w:cs="Arial"/>
          <w:sz w:val="22"/>
          <w:szCs w:val="22"/>
        </w:rPr>
        <w:t xml:space="preserve"> that provide</w:t>
      </w:r>
      <w:r w:rsidRPr="00F73DD7">
        <w:rPr>
          <w:rFonts w:ascii="Arial" w:hAnsi="Arial" w:cs="Arial"/>
          <w:sz w:val="22"/>
          <w:szCs w:val="22"/>
        </w:rPr>
        <w:t xml:space="preserve"> a service or product on a continuous bas</w:t>
      </w:r>
      <w:r>
        <w:rPr>
          <w:rFonts w:ascii="Arial" w:hAnsi="Arial" w:cs="Arial"/>
          <w:sz w:val="22"/>
          <w:szCs w:val="22"/>
        </w:rPr>
        <w:t xml:space="preserve">is to the University Community </w:t>
      </w:r>
      <w:r w:rsidRPr="00F73DD7">
        <w:rPr>
          <w:rFonts w:ascii="Arial" w:hAnsi="Arial" w:cs="Arial"/>
          <w:sz w:val="22"/>
          <w:szCs w:val="22"/>
        </w:rPr>
        <w:t>(including the public) and charges the user a predetermined rate calculated to recover the</w:t>
      </w:r>
      <w:r>
        <w:rPr>
          <w:rFonts w:ascii="Arial" w:hAnsi="Arial" w:cs="Arial"/>
          <w:sz w:val="22"/>
          <w:szCs w:val="22"/>
        </w:rPr>
        <w:t xml:space="preserve"> units</w:t>
      </w:r>
      <w:r w:rsidRPr="00F73DD7">
        <w:rPr>
          <w:rFonts w:ascii="Arial" w:hAnsi="Arial" w:cs="Arial"/>
          <w:sz w:val="22"/>
          <w:szCs w:val="22"/>
        </w:rPr>
        <w:t xml:space="preserve"> total</w:t>
      </w:r>
      <w:r>
        <w:rPr>
          <w:rFonts w:ascii="Arial" w:hAnsi="Arial" w:cs="Arial"/>
          <w:sz w:val="22"/>
          <w:szCs w:val="22"/>
        </w:rPr>
        <w:t xml:space="preserve"> operating costs including internal overhead costs</w:t>
      </w:r>
      <w:r w:rsidR="00EA5D42">
        <w:rPr>
          <w:rFonts w:ascii="Arial" w:hAnsi="Arial" w:cs="Arial"/>
          <w:sz w:val="22"/>
          <w:szCs w:val="22"/>
        </w:rPr>
        <w:t xml:space="preserve"> (indirect costs)</w:t>
      </w:r>
      <w:r>
        <w:rPr>
          <w:rFonts w:ascii="Arial" w:hAnsi="Arial" w:cs="Arial"/>
          <w:sz w:val="22"/>
          <w:szCs w:val="22"/>
        </w:rPr>
        <w:t>. The unit’s internal overhead costs</w:t>
      </w:r>
      <w:r w:rsidRPr="00F73DD7">
        <w:rPr>
          <w:rFonts w:ascii="Arial" w:hAnsi="Arial" w:cs="Arial"/>
          <w:sz w:val="22"/>
          <w:szCs w:val="22"/>
        </w:rPr>
        <w:t xml:space="preserve"> </w:t>
      </w:r>
      <w:r>
        <w:rPr>
          <w:rFonts w:ascii="Arial" w:hAnsi="Arial" w:cs="Arial"/>
          <w:sz w:val="22"/>
          <w:szCs w:val="22"/>
        </w:rPr>
        <w:t>are material (&gt;$100,000)</w:t>
      </w:r>
      <w:r w:rsidRPr="00F73DD7">
        <w:rPr>
          <w:rFonts w:ascii="Arial" w:hAnsi="Arial" w:cs="Arial"/>
          <w:sz w:val="22"/>
          <w:szCs w:val="22"/>
        </w:rPr>
        <w:t xml:space="preserve"> </w:t>
      </w:r>
      <w:r>
        <w:rPr>
          <w:rFonts w:ascii="Arial" w:hAnsi="Arial" w:cs="Arial"/>
          <w:sz w:val="22"/>
          <w:szCs w:val="22"/>
        </w:rPr>
        <w:t>and included in the rate calculation. Examples may include</w:t>
      </w:r>
      <w:r w:rsidR="003246FD">
        <w:rPr>
          <w:rFonts w:ascii="Arial" w:hAnsi="Arial" w:cs="Arial"/>
          <w:sz w:val="22"/>
          <w:szCs w:val="22"/>
        </w:rPr>
        <w:t xml:space="preserve"> Consolidated Utilities and UCit</w:t>
      </w:r>
      <w:r>
        <w:rPr>
          <w:rFonts w:ascii="Arial" w:hAnsi="Arial" w:cs="Arial"/>
          <w:sz w:val="22"/>
          <w:szCs w:val="22"/>
        </w:rPr>
        <w:t>.</w:t>
      </w:r>
      <w:r w:rsidR="00EA5D42">
        <w:rPr>
          <w:rFonts w:ascii="Arial" w:hAnsi="Arial" w:cs="Arial"/>
          <w:sz w:val="22"/>
          <w:szCs w:val="22"/>
        </w:rPr>
        <w:t xml:space="preserve"> The internal overhead costs (indirect costs) are recovered through the unit’s rates. Internal overhead (indirect costs) often charged to the unit are building use allowance, general administration &amp; expenses, and university operation &amp; maintenance expense. Other </w:t>
      </w:r>
      <w:r w:rsidR="00BD1FCA">
        <w:rPr>
          <w:rFonts w:ascii="Arial" w:hAnsi="Arial" w:cs="Arial"/>
          <w:sz w:val="22"/>
          <w:szCs w:val="22"/>
        </w:rPr>
        <w:t>University</w:t>
      </w:r>
      <w:r w:rsidR="00EA5D42">
        <w:rPr>
          <w:rFonts w:ascii="Arial" w:hAnsi="Arial" w:cs="Arial"/>
          <w:sz w:val="22"/>
          <w:szCs w:val="22"/>
        </w:rPr>
        <w:t xml:space="preserve"> cost pools that can be included</w:t>
      </w:r>
      <w:r w:rsidR="00BD1FCA">
        <w:rPr>
          <w:rFonts w:ascii="Arial" w:hAnsi="Arial" w:cs="Arial"/>
          <w:sz w:val="22"/>
          <w:szCs w:val="22"/>
        </w:rPr>
        <w:t>,</w:t>
      </w:r>
      <w:r w:rsidR="00EA5D42">
        <w:rPr>
          <w:rFonts w:ascii="Arial" w:hAnsi="Arial" w:cs="Arial"/>
          <w:sz w:val="22"/>
          <w:szCs w:val="22"/>
        </w:rPr>
        <w:t xml:space="preserve"> only if applicable</w:t>
      </w:r>
      <w:r w:rsidR="00BD1FCA">
        <w:rPr>
          <w:rFonts w:ascii="Arial" w:hAnsi="Arial" w:cs="Arial"/>
          <w:sz w:val="22"/>
          <w:szCs w:val="22"/>
        </w:rPr>
        <w:t xml:space="preserve"> are; </w:t>
      </w:r>
      <w:r w:rsidR="00EA5D42">
        <w:rPr>
          <w:rFonts w:ascii="Arial" w:hAnsi="Arial" w:cs="Arial"/>
          <w:sz w:val="22"/>
          <w:szCs w:val="22"/>
        </w:rPr>
        <w:t>library costs, departmental administration expense, student administration and services, and sponsored projects administration.</w:t>
      </w:r>
    </w:p>
    <w:p w14:paraId="29F5781D" w14:textId="77777777" w:rsidR="00E407E8" w:rsidRPr="00F73DD7" w:rsidRDefault="00E407E8" w:rsidP="00E407E8">
      <w:pPr>
        <w:pStyle w:val="PlainText"/>
        <w:ind w:left="1440"/>
        <w:rPr>
          <w:rFonts w:ascii="Arial" w:hAnsi="Arial" w:cs="Arial"/>
          <w:sz w:val="22"/>
          <w:szCs w:val="22"/>
        </w:rPr>
      </w:pPr>
    </w:p>
    <w:p w14:paraId="490DCCD9" w14:textId="37B8688D" w:rsidR="00E407E8" w:rsidRPr="00AD4DC1" w:rsidRDefault="00E407E8" w:rsidP="00E407E8">
      <w:pPr>
        <w:pStyle w:val="PlainText"/>
        <w:numPr>
          <w:ilvl w:val="0"/>
          <w:numId w:val="2"/>
        </w:numPr>
        <w:rPr>
          <w:rFonts w:ascii="Arial" w:hAnsi="Arial" w:cs="Arial"/>
          <w:sz w:val="22"/>
          <w:szCs w:val="22"/>
        </w:rPr>
      </w:pPr>
      <w:r w:rsidRPr="00AD4DC1">
        <w:rPr>
          <w:rFonts w:ascii="Arial" w:hAnsi="Arial" w:cs="Arial"/>
          <w:b/>
          <w:sz w:val="22"/>
          <w:szCs w:val="22"/>
        </w:rPr>
        <w:t>Departmental</w:t>
      </w:r>
      <w:r w:rsidR="00996994">
        <w:rPr>
          <w:rFonts w:ascii="Arial" w:hAnsi="Arial" w:cs="Arial"/>
          <w:b/>
          <w:sz w:val="22"/>
          <w:szCs w:val="22"/>
        </w:rPr>
        <w:t>/College</w:t>
      </w:r>
      <w:r w:rsidRPr="00AD4DC1">
        <w:rPr>
          <w:rFonts w:ascii="Arial" w:hAnsi="Arial" w:cs="Arial"/>
          <w:b/>
          <w:sz w:val="22"/>
          <w:szCs w:val="22"/>
        </w:rPr>
        <w:t xml:space="preserve"> Service Center</w:t>
      </w:r>
      <w:r>
        <w:rPr>
          <w:rFonts w:ascii="Arial" w:hAnsi="Arial" w:cs="Arial"/>
          <w:b/>
          <w:sz w:val="22"/>
          <w:szCs w:val="22"/>
        </w:rPr>
        <w:t>:</w:t>
      </w:r>
      <w:r w:rsidRPr="00AD4DC1">
        <w:rPr>
          <w:rFonts w:ascii="Arial" w:hAnsi="Arial" w:cs="Arial"/>
          <w:sz w:val="22"/>
          <w:szCs w:val="22"/>
        </w:rPr>
        <w:t xml:space="preserve"> </w:t>
      </w:r>
      <w:r>
        <w:rPr>
          <w:rFonts w:ascii="Arial" w:hAnsi="Arial" w:cs="Arial"/>
          <w:sz w:val="22"/>
          <w:szCs w:val="22"/>
        </w:rPr>
        <w:t xml:space="preserve">are </w:t>
      </w:r>
      <w:r w:rsidRPr="00AD4DC1">
        <w:rPr>
          <w:rFonts w:ascii="Arial" w:hAnsi="Arial" w:cs="Arial"/>
          <w:i/>
          <w:sz w:val="22"/>
          <w:szCs w:val="22"/>
        </w:rPr>
        <w:t>Recharge Units</w:t>
      </w:r>
      <w:r>
        <w:rPr>
          <w:rFonts w:ascii="Arial" w:hAnsi="Arial" w:cs="Arial"/>
          <w:sz w:val="22"/>
          <w:szCs w:val="22"/>
        </w:rPr>
        <w:t xml:space="preserve"> that</w:t>
      </w:r>
      <w:r w:rsidRPr="00AD4DC1">
        <w:rPr>
          <w:rFonts w:ascii="Arial" w:hAnsi="Arial" w:cs="Arial"/>
          <w:sz w:val="22"/>
          <w:szCs w:val="22"/>
        </w:rPr>
        <w:t xml:space="preserve"> provide a specific type of service or product to a limited segm</w:t>
      </w:r>
      <w:r>
        <w:rPr>
          <w:rFonts w:ascii="Arial" w:hAnsi="Arial" w:cs="Arial"/>
          <w:sz w:val="22"/>
          <w:szCs w:val="22"/>
        </w:rPr>
        <w:t>ent of the University community and charges a predetermined rate calculated to</w:t>
      </w:r>
      <w:r w:rsidRPr="00AD4DC1">
        <w:rPr>
          <w:rFonts w:ascii="Arial" w:hAnsi="Arial" w:cs="Arial"/>
          <w:sz w:val="22"/>
          <w:szCs w:val="22"/>
        </w:rPr>
        <w:t xml:space="preserve"> recover the direct costs of providing the service</w:t>
      </w:r>
      <w:r>
        <w:rPr>
          <w:rFonts w:ascii="Arial" w:hAnsi="Arial" w:cs="Arial"/>
          <w:sz w:val="22"/>
          <w:szCs w:val="22"/>
        </w:rPr>
        <w:t xml:space="preserve">. </w:t>
      </w:r>
      <w:r w:rsidRPr="00AD4DC1">
        <w:rPr>
          <w:rFonts w:ascii="Arial" w:hAnsi="Arial" w:cs="Arial"/>
          <w:sz w:val="22"/>
          <w:szCs w:val="22"/>
        </w:rPr>
        <w:t xml:space="preserve">The </w:t>
      </w:r>
      <w:r>
        <w:rPr>
          <w:rFonts w:ascii="Arial" w:hAnsi="Arial" w:cs="Arial"/>
          <w:sz w:val="22"/>
          <w:szCs w:val="22"/>
        </w:rPr>
        <w:t>unit’s internal overhead costs</w:t>
      </w:r>
      <w:r w:rsidRPr="00AD4DC1">
        <w:rPr>
          <w:rFonts w:ascii="Arial" w:hAnsi="Arial" w:cs="Arial"/>
          <w:sz w:val="22"/>
          <w:szCs w:val="22"/>
        </w:rPr>
        <w:t xml:space="preserve"> that could be allocated do not materially affect the University's indirect cost pool. The indirect costs of this service </w:t>
      </w:r>
      <w:r w:rsidR="00357425" w:rsidRPr="00AD4DC1">
        <w:rPr>
          <w:rFonts w:ascii="Arial" w:hAnsi="Arial" w:cs="Arial"/>
          <w:sz w:val="22"/>
          <w:szCs w:val="22"/>
        </w:rPr>
        <w:t>would</w:t>
      </w:r>
      <w:r w:rsidRPr="00AD4DC1">
        <w:rPr>
          <w:rFonts w:ascii="Arial" w:hAnsi="Arial" w:cs="Arial"/>
          <w:sz w:val="22"/>
          <w:szCs w:val="22"/>
        </w:rPr>
        <w:t xml:space="preserve"> remain as part of the costs of the University. </w:t>
      </w:r>
      <w:r>
        <w:rPr>
          <w:rFonts w:ascii="Arial" w:hAnsi="Arial" w:cs="Arial"/>
          <w:sz w:val="22"/>
          <w:szCs w:val="22"/>
        </w:rPr>
        <w:t>Examples may include copy services, animal care services, technical research equipment, or laboratory analysis services.</w:t>
      </w:r>
    </w:p>
    <w:p w14:paraId="31787248" w14:textId="77777777" w:rsidR="00E407E8" w:rsidRPr="00AD4DC1" w:rsidRDefault="00E407E8" w:rsidP="00E407E8">
      <w:pPr>
        <w:pStyle w:val="PlainText"/>
        <w:rPr>
          <w:rFonts w:ascii="Arial" w:hAnsi="Arial" w:cs="Arial"/>
          <w:sz w:val="22"/>
          <w:szCs w:val="22"/>
        </w:rPr>
      </w:pPr>
    </w:p>
    <w:p w14:paraId="27BEEA54" w14:textId="72544450" w:rsidR="00E407E8" w:rsidRDefault="00E407E8" w:rsidP="00E407E8">
      <w:pPr>
        <w:pStyle w:val="PlainText"/>
        <w:rPr>
          <w:rFonts w:ascii="Arial" w:hAnsi="Arial" w:cs="Arial"/>
          <w:sz w:val="22"/>
          <w:szCs w:val="22"/>
        </w:rPr>
      </w:pPr>
      <w:r w:rsidRPr="00616417">
        <w:rPr>
          <w:rFonts w:ascii="Arial" w:hAnsi="Arial" w:cs="Arial"/>
          <w:b/>
          <w:sz w:val="22"/>
          <w:szCs w:val="22"/>
        </w:rPr>
        <w:t>Sales and Service Units</w:t>
      </w:r>
      <w:r>
        <w:rPr>
          <w:rFonts w:ascii="Arial" w:hAnsi="Arial" w:cs="Arial"/>
          <w:sz w:val="22"/>
          <w:szCs w:val="22"/>
        </w:rPr>
        <w:t>: Recharge Units</w:t>
      </w:r>
      <w:r w:rsidRPr="00225C73">
        <w:rPr>
          <w:rFonts w:ascii="Arial" w:hAnsi="Arial" w:cs="Arial"/>
          <w:sz w:val="22"/>
          <w:szCs w:val="22"/>
        </w:rPr>
        <w:t xml:space="preserve"> </w:t>
      </w:r>
      <w:r w:rsidR="00225C73" w:rsidRPr="00225C73">
        <w:rPr>
          <w:rFonts w:ascii="Arial" w:hAnsi="Arial" w:cs="Arial"/>
          <w:sz w:val="22"/>
          <w:szCs w:val="22"/>
        </w:rPr>
        <w:t>are units</w:t>
      </w:r>
      <w:r w:rsidR="008715AD">
        <w:rPr>
          <w:rFonts w:ascii="Arial" w:hAnsi="Arial" w:cs="Arial"/>
          <w:sz w:val="22"/>
          <w:szCs w:val="22"/>
        </w:rPr>
        <w:t xml:space="preserve"> </w:t>
      </w:r>
      <w:r>
        <w:rPr>
          <w:rFonts w:ascii="Arial" w:hAnsi="Arial" w:cs="Arial"/>
          <w:sz w:val="22"/>
          <w:szCs w:val="22"/>
        </w:rPr>
        <w:t>that sell goods and/or services only to customers outside the university community.</w:t>
      </w:r>
      <w:r w:rsidR="00893673">
        <w:rPr>
          <w:rFonts w:ascii="Arial" w:hAnsi="Arial" w:cs="Arial"/>
          <w:sz w:val="22"/>
          <w:szCs w:val="22"/>
        </w:rPr>
        <w:t xml:space="preserve"> </w:t>
      </w:r>
      <w:hyperlink r:id="rId10" w:history="1">
        <w:r w:rsidR="00893673" w:rsidRPr="00893673">
          <w:rPr>
            <w:rStyle w:val="Hyperlink"/>
            <w:rFonts w:ascii="Arial" w:hAnsi="Arial" w:cs="Arial"/>
            <w:sz w:val="22"/>
            <w:szCs w:val="22"/>
          </w:rPr>
          <w:t>Sales &amp; Services Funds Policy 2.1.32</w:t>
        </w:r>
      </w:hyperlink>
    </w:p>
    <w:p w14:paraId="62304FA9" w14:textId="77777777" w:rsidR="00E407E8" w:rsidRPr="00F73DD7" w:rsidRDefault="00E407E8" w:rsidP="00E407E8">
      <w:pPr>
        <w:pStyle w:val="PlainText"/>
        <w:rPr>
          <w:rFonts w:ascii="Arial" w:hAnsi="Arial" w:cs="Arial"/>
          <w:sz w:val="22"/>
          <w:szCs w:val="22"/>
        </w:rPr>
      </w:pPr>
    </w:p>
    <w:p w14:paraId="726CFA9B" w14:textId="4760D782" w:rsidR="00E407E8" w:rsidRDefault="00E407E8" w:rsidP="00E407E8">
      <w:pPr>
        <w:pStyle w:val="PlainText"/>
        <w:rPr>
          <w:rFonts w:ascii="Arial" w:hAnsi="Arial" w:cs="Arial"/>
          <w:sz w:val="22"/>
          <w:szCs w:val="22"/>
        </w:rPr>
      </w:pPr>
      <w:r w:rsidRPr="00BF2232">
        <w:rPr>
          <w:rFonts w:ascii="Arial" w:hAnsi="Arial" w:cs="Arial"/>
          <w:b/>
          <w:sz w:val="22"/>
          <w:szCs w:val="22"/>
        </w:rPr>
        <w:t>Auxilia</w:t>
      </w:r>
      <w:r>
        <w:rPr>
          <w:rFonts w:ascii="Arial" w:hAnsi="Arial" w:cs="Arial"/>
          <w:b/>
          <w:sz w:val="22"/>
          <w:szCs w:val="22"/>
        </w:rPr>
        <w:t>ry</w:t>
      </w:r>
      <w:r w:rsidRPr="00BF2232">
        <w:rPr>
          <w:rFonts w:ascii="Arial" w:hAnsi="Arial" w:cs="Arial"/>
          <w:b/>
          <w:sz w:val="22"/>
          <w:szCs w:val="22"/>
        </w:rPr>
        <w:t>:</w:t>
      </w:r>
      <w:r>
        <w:rPr>
          <w:rFonts w:ascii="Arial" w:hAnsi="Arial" w:cs="Arial"/>
          <w:sz w:val="22"/>
          <w:szCs w:val="22"/>
        </w:rPr>
        <w:t xml:space="preserve"> are </w:t>
      </w:r>
      <w:r w:rsidRPr="00BF2232">
        <w:rPr>
          <w:rFonts w:ascii="Arial" w:hAnsi="Arial" w:cs="Arial"/>
          <w:i/>
          <w:sz w:val="22"/>
          <w:szCs w:val="22"/>
        </w:rPr>
        <w:t>Recharge Units</w:t>
      </w:r>
      <w:r w:rsidRPr="00240911">
        <w:rPr>
          <w:rFonts w:ascii="Arial" w:hAnsi="Arial" w:cs="Arial"/>
          <w:sz w:val="22"/>
          <w:szCs w:val="22"/>
        </w:rPr>
        <w:t xml:space="preserve"> </w:t>
      </w:r>
      <w:r>
        <w:rPr>
          <w:rFonts w:ascii="Arial" w:hAnsi="Arial" w:cs="Arial"/>
          <w:sz w:val="22"/>
          <w:szCs w:val="22"/>
        </w:rPr>
        <w:t xml:space="preserve">that </w:t>
      </w:r>
      <w:r w:rsidRPr="00F73DD7">
        <w:rPr>
          <w:rFonts w:ascii="Arial" w:hAnsi="Arial" w:cs="Arial"/>
          <w:sz w:val="22"/>
          <w:szCs w:val="22"/>
        </w:rPr>
        <w:t xml:space="preserve">are self-supporting </w:t>
      </w:r>
      <w:r w:rsidR="00357425" w:rsidRPr="00F73DD7">
        <w:rPr>
          <w:rFonts w:ascii="Arial" w:hAnsi="Arial" w:cs="Arial"/>
          <w:sz w:val="22"/>
          <w:szCs w:val="22"/>
        </w:rPr>
        <w:t>enterprises, which</w:t>
      </w:r>
      <w:r w:rsidRPr="00F73DD7">
        <w:rPr>
          <w:rFonts w:ascii="Arial" w:hAnsi="Arial" w:cs="Arial"/>
          <w:sz w:val="22"/>
          <w:szCs w:val="22"/>
        </w:rPr>
        <w:t xml:space="preserve"> provide goods/services to the University community and charge a rate or fee directly related to, although not necessarily equal to, the total cost o</w:t>
      </w:r>
      <w:r>
        <w:rPr>
          <w:rFonts w:ascii="Arial" w:hAnsi="Arial" w:cs="Arial"/>
          <w:sz w:val="22"/>
          <w:szCs w:val="22"/>
        </w:rPr>
        <w:t xml:space="preserve">f goods or services provided. </w:t>
      </w:r>
      <w:r w:rsidRPr="00F73DD7">
        <w:rPr>
          <w:rFonts w:ascii="Arial" w:hAnsi="Arial" w:cs="Arial"/>
          <w:sz w:val="22"/>
          <w:szCs w:val="22"/>
        </w:rPr>
        <w:t xml:space="preserve">The distinguishing characteristic of these units is that they are managed as self-supporting units. </w:t>
      </w:r>
      <w:r>
        <w:rPr>
          <w:rFonts w:ascii="Arial" w:hAnsi="Arial" w:cs="Arial"/>
          <w:sz w:val="22"/>
          <w:szCs w:val="22"/>
        </w:rPr>
        <w:t xml:space="preserve">Examples may include </w:t>
      </w:r>
      <w:r w:rsidRPr="00240911">
        <w:rPr>
          <w:rFonts w:ascii="Arial" w:hAnsi="Arial" w:cs="Arial"/>
          <w:sz w:val="22"/>
          <w:szCs w:val="22"/>
        </w:rPr>
        <w:t>Residence Halls, Din</w:t>
      </w:r>
      <w:r>
        <w:rPr>
          <w:rFonts w:ascii="Arial" w:hAnsi="Arial" w:cs="Arial"/>
          <w:sz w:val="22"/>
          <w:szCs w:val="22"/>
        </w:rPr>
        <w:t>ing Facilities,</w:t>
      </w:r>
      <w:r w:rsidR="007367A3">
        <w:rPr>
          <w:rFonts w:ascii="Arial" w:hAnsi="Arial" w:cs="Arial"/>
          <w:sz w:val="22"/>
          <w:szCs w:val="22"/>
        </w:rPr>
        <w:t xml:space="preserve"> </w:t>
      </w:r>
      <w:r w:rsidRPr="00240911">
        <w:rPr>
          <w:rFonts w:ascii="Arial" w:hAnsi="Arial" w:cs="Arial"/>
          <w:sz w:val="22"/>
          <w:szCs w:val="22"/>
        </w:rPr>
        <w:t>Tangeman University Center,</w:t>
      </w:r>
      <w:r>
        <w:rPr>
          <w:rFonts w:ascii="Arial" w:hAnsi="Arial" w:cs="Arial"/>
          <w:sz w:val="22"/>
          <w:szCs w:val="22"/>
        </w:rPr>
        <w:t xml:space="preserve"> and</w:t>
      </w:r>
      <w:r w:rsidRPr="00240911">
        <w:rPr>
          <w:rFonts w:ascii="Arial" w:hAnsi="Arial" w:cs="Arial"/>
          <w:sz w:val="22"/>
          <w:szCs w:val="22"/>
        </w:rPr>
        <w:t xml:space="preserve"> Parking Garages</w:t>
      </w:r>
      <w:r>
        <w:rPr>
          <w:rFonts w:ascii="Arial" w:hAnsi="Arial" w:cs="Arial"/>
          <w:sz w:val="22"/>
          <w:szCs w:val="22"/>
        </w:rPr>
        <w:t>.</w:t>
      </w:r>
    </w:p>
    <w:p w14:paraId="59D701F2" w14:textId="77777777" w:rsidR="00BD1FCA" w:rsidRDefault="00BD1FCA" w:rsidP="00E407E8">
      <w:pPr>
        <w:spacing w:after="0" w:line="240" w:lineRule="auto"/>
        <w:rPr>
          <w:rFonts w:ascii="Arial" w:hAnsi="Arial" w:cs="Arial"/>
          <w:b/>
        </w:rPr>
      </w:pPr>
    </w:p>
    <w:p w14:paraId="287281A6" w14:textId="69387E4D" w:rsidR="00E407E8" w:rsidRDefault="00BD1FCA" w:rsidP="00E407E8">
      <w:pPr>
        <w:spacing w:after="0" w:line="240" w:lineRule="auto"/>
        <w:rPr>
          <w:rFonts w:ascii="Arial" w:hAnsi="Arial" w:cs="Arial"/>
        </w:rPr>
      </w:pPr>
      <w:r>
        <w:rPr>
          <w:rFonts w:ascii="Arial" w:hAnsi="Arial" w:cs="Arial"/>
          <w:b/>
        </w:rPr>
        <w:t>D</w:t>
      </w:r>
      <w:r w:rsidR="00E407E8" w:rsidRPr="002529E0">
        <w:rPr>
          <w:rFonts w:ascii="Arial" w:hAnsi="Arial" w:cs="Arial"/>
          <w:b/>
        </w:rPr>
        <w:t>irect Cost:</w:t>
      </w:r>
      <w:r w:rsidR="00E407E8" w:rsidRPr="00760B11">
        <w:rPr>
          <w:rFonts w:ascii="Arial" w:hAnsi="Arial" w:cs="Arial"/>
        </w:rPr>
        <w:t xml:space="preserve"> </w:t>
      </w:r>
      <w:r w:rsidR="00E407E8">
        <w:rPr>
          <w:rFonts w:ascii="Arial" w:hAnsi="Arial" w:cs="Arial"/>
        </w:rPr>
        <w:t>The</w:t>
      </w:r>
      <w:r w:rsidR="00E407E8" w:rsidRPr="00F73DD7">
        <w:rPr>
          <w:rFonts w:ascii="Arial" w:hAnsi="Arial" w:cs="Arial"/>
        </w:rPr>
        <w:t xml:space="preserve"> </w:t>
      </w:r>
      <w:r w:rsidR="00E407E8">
        <w:rPr>
          <w:rFonts w:ascii="Arial" w:hAnsi="Arial" w:cs="Arial"/>
        </w:rPr>
        <w:t xml:space="preserve">Code of Federal Regulation Title 2 part 200 section 200.413 defines </w:t>
      </w:r>
      <w:r w:rsidR="00D30E0B">
        <w:rPr>
          <w:rFonts w:ascii="Arial" w:hAnsi="Arial" w:cs="Arial"/>
        </w:rPr>
        <w:t xml:space="preserve">direct </w:t>
      </w:r>
      <w:r w:rsidR="00E407E8">
        <w:rPr>
          <w:rFonts w:ascii="Arial" w:hAnsi="Arial" w:cs="Arial"/>
        </w:rPr>
        <w:t>costs as follows: “</w:t>
      </w:r>
      <w:r w:rsidR="00E407E8" w:rsidRPr="000F425A">
        <w:rPr>
          <w:rFonts w:ascii="Arial" w:hAnsi="Arial" w:cs="Arial"/>
        </w:rPr>
        <w:t xml:space="preserve">Direct costs are those costs that can be identified specifically with a particular final cost objective, such as a Federal award, or other internally or externally funded activity, or that can be directly assigned to such activities relatively easily with </w:t>
      </w:r>
      <w:r w:rsidR="00E407E8">
        <w:rPr>
          <w:rFonts w:ascii="Arial" w:hAnsi="Arial" w:cs="Arial"/>
        </w:rPr>
        <w:t>a high degree of accuracy.” All direct costs must be charged directly to the Service Center. These costs include salaries, fringe benefits, materials and supplies, services, travel expense, equipment rentals or maintenance contracts, and equipment depreciation.</w:t>
      </w:r>
      <w:r w:rsidR="00E407E8" w:rsidRPr="00F73DD7">
        <w:rPr>
          <w:rFonts w:ascii="Arial" w:hAnsi="Arial" w:cs="Arial"/>
        </w:rPr>
        <w:t xml:space="preserve"> </w:t>
      </w:r>
    </w:p>
    <w:p w14:paraId="297D4AB3" w14:textId="04F8B64E" w:rsidR="00F2020D" w:rsidRDefault="00F2020D" w:rsidP="00E407E8">
      <w:pPr>
        <w:spacing w:after="0" w:line="240" w:lineRule="auto"/>
        <w:rPr>
          <w:rFonts w:ascii="Arial" w:hAnsi="Arial" w:cs="Arial"/>
        </w:rPr>
      </w:pPr>
    </w:p>
    <w:p w14:paraId="547688DB" w14:textId="4806B79A" w:rsidR="00F2020D" w:rsidRDefault="00F2020D" w:rsidP="00E407E8">
      <w:pPr>
        <w:spacing w:after="0" w:line="240" w:lineRule="auto"/>
        <w:rPr>
          <w:rFonts w:ascii="Arial" w:hAnsi="Arial" w:cs="Arial"/>
        </w:rPr>
      </w:pPr>
    </w:p>
    <w:p w14:paraId="44BE62B7" w14:textId="32DBF028" w:rsidR="00F2020D" w:rsidRDefault="00F2020D" w:rsidP="00E407E8">
      <w:pPr>
        <w:spacing w:after="0" w:line="240" w:lineRule="auto"/>
        <w:rPr>
          <w:rFonts w:ascii="Arial" w:hAnsi="Arial" w:cs="Arial"/>
        </w:rPr>
      </w:pPr>
    </w:p>
    <w:p w14:paraId="3A98EAB3" w14:textId="59F5866D" w:rsidR="00F2020D" w:rsidRDefault="00F2020D" w:rsidP="00E407E8">
      <w:pPr>
        <w:spacing w:after="0" w:line="240" w:lineRule="auto"/>
        <w:rPr>
          <w:rFonts w:ascii="Arial" w:hAnsi="Arial" w:cs="Arial"/>
        </w:rPr>
      </w:pPr>
    </w:p>
    <w:p w14:paraId="3B32EC46" w14:textId="77777777" w:rsidR="00F2020D" w:rsidRDefault="00F2020D" w:rsidP="00E407E8">
      <w:pPr>
        <w:spacing w:after="0" w:line="240" w:lineRule="auto"/>
        <w:rPr>
          <w:rFonts w:ascii="Arial" w:hAnsi="Arial" w:cs="Arial"/>
        </w:rPr>
      </w:pPr>
    </w:p>
    <w:p w14:paraId="4BE483E3" w14:textId="77777777" w:rsidR="00E407E8" w:rsidRDefault="00E407E8" w:rsidP="00E407E8">
      <w:pPr>
        <w:pStyle w:val="PlainText"/>
        <w:rPr>
          <w:rFonts w:ascii="Arial" w:hAnsi="Arial" w:cs="Arial"/>
          <w:sz w:val="22"/>
          <w:szCs w:val="22"/>
        </w:rPr>
      </w:pPr>
    </w:p>
    <w:p w14:paraId="18A4795A" w14:textId="77777777" w:rsidR="00E407E8" w:rsidRDefault="00E407E8" w:rsidP="00E407E8">
      <w:pPr>
        <w:pStyle w:val="PlainText"/>
        <w:rPr>
          <w:rFonts w:ascii="Arial" w:hAnsi="Arial" w:cs="Arial"/>
          <w:sz w:val="22"/>
          <w:szCs w:val="22"/>
        </w:rPr>
      </w:pPr>
      <w:r w:rsidRPr="002529E0">
        <w:rPr>
          <w:rFonts w:ascii="Arial" w:hAnsi="Arial" w:cs="Arial"/>
          <w:b/>
          <w:sz w:val="22"/>
          <w:szCs w:val="22"/>
        </w:rPr>
        <w:t>Indirect Cost:</w:t>
      </w:r>
      <w:r w:rsidRPr="00F73DD7">
        <w:rPr>
          <w:rFonts w:ascii="Arial" w:hAnsi="Arial" w:cs="Arial"/>
          <w:sz w:val="22"/>
          <w:szCs w:val="22"/>
        </w:rPr>
        <w:t xml:space="preserve"> </w:t>
      </w:r>
      <w:r>
        <w:rPr>
          <w:rFonts w:ascii="Arial" w:hAnsi="Arial" w:cs="Arial"/>
          <w:sz w:val="22"/>
          <w:szCs w:val="22"/>
        </w:rPr>
        <w:t>Indirect costs are the costs of administration and supporting functions of the University. These costs may include general administration, executive management, payroll, accounting and personnel administration, building operations and maintenance, custodial services, building interest and depreciation. The</w:t>
      </w:r>
      <w:r w:rsidRPr="00F73DD7">
        <w:rPr>
          <w:rFonts w:ascii="Arial" w:hAnsi="Arial" w:cs="Arial"/>
          <w:sz w:val="22"/>
          <w:szCs w:val="22"/>
        </w:rPr>
        <w:t xml:space="preserve"> </w:t>
      </w:r>
      <w:r>
        <w:rPr>
          <w:rFonts w:ascii="Arial" w:hAnsi="Arial" w:cs="Arial"/>
          <w:sz w:val="22"/>
          <w:szCs w:val="22"/>
        </w:rPr>
        <w:t>Code of Federal Regulation Title 2 part 200 section 200.56 defines indirect costs as follows: “</w:t>
      </w:r>
      <w:r w:rsidRPr="000F425A">
        <w:rPr>
          <w:rFonts w:ascii="Arial" w:hAnsi="Arial" w:cs="Arial"/>
          <w:sz w:val="22"/>
          <w:szCs w:val="22"/>
        </w:rPr>
        <w:t>Indirect (F&amp;A) costs means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 of relative benefits derived.”</w:t>
      </w:r>
    </w:p>
    <w:p w14:paraId="78D03C05" w14:textId="77777777" w:rsidR="00E51869" w:rsidRDefault="00E51869" w:rsidP="00E407E8">
      <w:pPr>
        <w:pStyle w:val="PlainText"/>
        <w:rPr>
          <w:rFonts w:ascii="Arial" w:hAnsi="Arial" w:cs="Arial"/>
          <w:sz w:val="22"/>
          <w:szCs w:val="22"/>
        </w:rPr>
      </w:pPr>
    </w:p>
    <w:p w14:paraId="679B9336" w14:textId="77777777" w:rsidR="005C394E" w:rsidRDefault="00E51869" w:rsidP="00E407E8">
      <w:pPr>
        <w:pStyle w:val="PlainText"/>
        <w:rPr>
          <w:rFonts w:ascii="Arial" w:hAnsi="Arial" w:cs="Arial"/>
          <w:sz w:val="22"/>
          <w:szCs w:val="22"/>
        </w:rPr>
      </w:pPr>
      <w:r w:rsidRPr="00E51869">
        <w:rPr>
          <w:rFonts w:ascii="Arial" w:hAnsi="Arial" w:cs="Arial"/>
          <w:b/>
          <w:sz w:val="22"/>
          <w:szCs w:val="22"/>
        </w:rPr>
        <w:t>Allowable Costs:</w:t>
      </w:r>
      <w:r w:rsidR="00601927">
        <w:rPr>
          <w:rFonts w:ascii="Arial" w:hAnsi="Arial" w:cs="Arial"/>
          <w:b/>
          <w:sz w:val="22"/>
          <w:szCs w:val="22"/>
        </w:rPr>
        <w:t xml:space="preserve"> </w:t>
      </w:r>
      <w:r w:rsidR="00601927" w:rsidRPr="005C394E">
        <w:rPr>
          <w:rFonts w:ascii="Arial" w:hAnsi="Arial" w:cs="Arial"/>
          <w:sz w:val="22"/>
          <w:szCs w:val="22"/>
        </w:rPr>
        <w:t>Costs must be allowable under federal regulations and sponsor terms and conditions, including program-specific requirements and u</w:t>
      </w:r>
      <w:r w:rsidR="00682AA1">
        <w:rPr>
          <w:rFonts w:ascii="Arial" w:hAnsi="Arial" w:cs="Arial"/>
          <w:sz w:val="22"/>
          <w:szCs w:val="22"/>
        </w:rPr>
        <w:t xml:space="preserve">niversity </w:t>
      </w:r>
      <w:r w:rsidR="00601927" w:rsidRPr="005C394E">
        <w:rPr>
          <w:rFonts w:ascii="Arial" w:hAnsi="Arial" w:cs="Arial"/>
          <w:sz w:val="22"/>
          <w:szCs w:val="22"/>
        </w:rPr>
        <w:t xml:space="preserve">policy. </w:t>
      </w:r>
    </w:p>
    <w:p w14:paraId="566B6126" w14:textId="77777777" w:rsidR="005C394E" w:rsidRDefault="00601927" w:rsidP="00E407E8">
      <w:pPr>
        <w:pStyle w:val="PlainText"/>
        <w:rPr>
          <w:rFonts w:ascii="Arial" w:hAnsi="Arial" w:cs="Arial"/>
          <w:b/>
          <w:sz w:val="22"/>
          <w:szCs w:val="22"/>
        </w:rPr>
      </w:pPr>
      <w:r w:rsidRPr="005C394E">
        <w:rPr>
          <w:rFonts w:ascii="Arial" w:hAnsi="Arial" w:cs="Arial"/>
          <w:sz w:val="22"/>
          <w:szCs w:val="22"/>
        </w:rPr>
        <w:t xml:space="preserve">To be </w:t>
      </w:r>
      <w:r w:rsidR="00682AA1" w:rsidRPr="005C394E">
        <w:rPr>
          <w:rFonts w:ascii="Arial" w:hAnsi="Arial" w:cs="Arial"/>
          <w:sz w:val="22"/>
          <w:szCs w:val="22"/>
        </w:rPr>
        <w:t>allowable</w:t>
      </w:r>
      <w:r w:rsidRPr="005C394E">
        <w:rPr>
          <w:rFonts w:ascii="Arial" w:hAnsi="Arial" w:cs="Arial"/>
          <w:sz w:val="22"/>
          <w:szCs w:val="22"/>
        </w:rPr>
        <w:t>: costs must be reasonable and necessary, be</w:t>
      </w:r>
      <w:r w:rsidR="005C394E">
        <w:rPr>
          <w:rFonts w:ascii="Arial" w:hAnsi="Arial" w:cs="Arial"/>
          <w:sz w:val="22"/>
          <w:szCs w:val="22"/>
        </w:rPr>
        <w:t xml:space="preserve"> </w:t>
      </w:r>
      <w:r w:rsidR="005C394E" w:rsidRPr="005C394E">
        <w:rPr>
          <w:rFonts w:ascii="Arial" w:hAnsi="Arial" w:cs="Arial"/>
          <w:sz w:val="22"/>
          <w:szCs w:val="22"/>
        </w:rPr>
        <w:t xml:space="preserve">allocable to federally sponsored projects under the </w:t>
      </w:r>
      <w:r w:rsidR="00682AA1" w:rsidRPr="005C394E">
        <w:rPr>
          <w:rFonts w:ascii="Arial" w:hAnsi="Arial" w:cs="Arial"/>
          <w:sz w:val="22"/>
          <w:szCs w:val="22"/>
        </w:rPr>
        <w:t>principles</w:t>
      </w:r>
      <w:r w:rsidR="005C394E" w:rsidRPr="005C394E">
        <w:rPr>
          <w:rFonts w:ascii="Arial" w:hAnsi="Arial" w:cs="Arial"/>
          <w:sz w:val="22"/>
          <w:szCs w:val="22"/>
        </w:rPr>
        <w:t xml:space="preserve"> and methods provided in the Code of Federal Regulations, be given consistent treatments, and conform to any limits or exclusions set forth in the Code of Federal Regulations part 200 or the terms and conditions of the award.</w:t>
      </w:r>
      <w:r w:rsidR="006030D6">
        <w:rPr>
          <w:rFonts w:ascii="Arial" w:hAnsi="Arial" w:cs="Arial"/>
          <w:sz w:val="22"/>
          <w:szCs w:val="22"/>
        </w:rPr>
        <w:t xml:space="preserve"> </w:t>
      </w:r>
      <w:hyperlink r:id="rId11" w:history="1">
        <w:r w:rsidR="006030D6" w:rsidRPr="006030D6">
          <w:rPr>
            <w:rStyle w:val="Hyperlink"/>
            <w:rFonts w:ascii="Arial" w:hAnsi="Arial" w:cs="Arial"/>
            <w:sz w:val="22"/>
            <w:szCs w:val="22"/>
          </w:rPr>
          <w:t>Policy 2.1.22 Allowability, Reasonableness and Allocability of Costs for Sponsored Projects.</w:t>
        </w:r>
      </w:hyperlink>
    </w:p>
    <w:p w14:paraId="707AC32C" w14:textId="77777777" w:rsidR="00E407E8" w:rsidRDefault="00601927" w:rsidP="00E407E8">
      <w:pPr>
        <w:pStyle w:val="PlainText"/>
        <w:rPr>
          <w:rFonts w:ascii="Arial" w:hAnsi="Arial" w:cs="Arial"/>
          <w:sz w:val="22"/>
          <w:szCs w:val="22"/>
        </w:rPr>
      </w:pPr>
      <w:r>
        <w:rPr>
          <w:rFonts w:ascii="Arial" w:hAnsi="Arial" w:cs="Arial"/>
          <w:b/>
          <w:sz w:val="22"/>
          <w:szCs w:val="22"/>
        </w:rPr>
        <w:t xml:space="preserve"> </w:t>
      </w:r>
    </w:p>
    <w:p w14:paraId="309E5D0E" w14:textId="77777777" w:rsidR="00E407E8" w:rsidRPr="000F425A" w:rsidRDefault="00E407E8" w:rsidP="00E407E8">
      <w:pPr>
        <w:pStyle w:val="PlainText"/>
        <w:rPr>
          <w:rFonts w:ascii="Arial" w:hAnsi="Arial" w:cs="Arial"/>
          <w:sz w:val="22"/>
          <w:szCs w:val="22"/>
        </w:rPr>
      </w:pPr>
      <w:r w:rsidRPr="00560140">
        <w:rPr>
          <w:rFonts w:ascii="Arial" w:hAnsi="Arial" w:cs="Arial"/>
          <w:b/>
          <w:sz w:val="22"/>
          <w:szCs w:val="22"/>
        </w:rPr>
        <w:t>Unallowable Costs:</w:t>
      </w:r>
      <w:r>
        <w:rPr>
          <w:rFonts w:ascii="Arial" w:hAnsi="Arial" w:cs="Arial"/>
          <w:sz w:val="22"/>
          <w:szCs w:val="22"/>
        </w:rPr>
        <w:t xml:space="preserve"> Unallowable costs are costs that have been determined </w:t>
      </w:r>
      <w:r w:rsidR="00F96D2C">
        <w:rPr>
          <w:rFonts w:ascii="Arial" w:hAnsi="Arial" w:cs="Arial"/>
          <w:sz w:val="22"/>
          <w:szCs w:val="22"/>
        </w:rPr>
        <w:t>un</w:t>
      </w:r>
      <w:r>
        <w:rPr>
          <w:rFonts w:ascii="Arial" w:hAnsi="Arial" w:cs="Arial"/>
          <w:sz w:val="22"/>
          <w:szCs w:val="22"/>
        </w:rPr>
        <w:t xml:space="preserve">allowable by </w:t>
      </w:r>
      <w:hyperlink r:id="rId12" w:history="1">
        <w:r w:rsidRPr="00682AA1">
          <w:rPr>
            <w:rStyle w:val="Hyperlink"/>
            <w:rFonts w:ascii="Arial" w:hAnsi="Arial" w:cs="Arial"/>
            <w:sz w:val="22"/>
            <w:szCs w:val="22"/>
          </w:rPr>
          <w:t>The Code of Federal Regulations Title 2 part 200 subpart E</w:t>
        </w:r>
      </w:hyperlink>
      <w:r>
        <w:rPr>
          <w:rFonts w:ascii="Arial" w:hAnsi="Arial" w:cs="Arial"/>
          <w:sz w:val="22"/>
          <w:szCs w:val="22"/>
        </w:rPr>
        <w:t>. All unallowable expenses must be excluded from federal user rate</w:t>
      </w:r>
      <w:r w:rsidR="00F96D2C">
        <w:rPr>
          <w:rFonts w:ascii="Arial" w:hAnsi="Arial" w:cs="Arial"/>
          <w:sz w:val="22"/>
          <w:szCs w:val="22"/>
        </w:rPr>
        <w:t>s</w:t>
      </w:r>
      <w:r>
        <w:rPr>
          <w:rFonts w:ascii="Arial" w:hAnsi="Arial" w:cs="Arial"/>
          <w:sz w:val="22"/>
          <w:szCs w:val="22"/>
        </w:rPr>
        <w:t>. Examples of unallowable costs are bad debt, internal interest, equipment reserves,</w:t>
      </w:r>
      <w:r w:rsidR="00F2544E">
        <w:rPr>
          <w:rFonts w:ascii="Arial" w:hAnsi="Arial" w:cs="Arial"/>
          <w:sz w:val="22"/>
          <w:szCs w:val="22"/>
        </w:rPr>
        <w:t xml:space="preserve"> entertainment, fines or penalties, gifts, airfare in excess of coach</w:t>
      </w:r>
      <w:r w:rsidR="00601927">
        <w:rPr>
          <w:rFonts w:ascii="Arial" w:hAnsi="Arial" w:cs="Arial"/>
          <w:sz w:val="22"/>
          <w:szCs w:val="22"/>
        </w:rPr>
        <w:t>, memberships</w:t>
      </w:r>
      <w:r w:rsidR="00F2544E">
        <w:rPr>
          <w:rFonts w:ascii="Arial" w:hAnsi="Arial" w:cs="Arial"/>
          <w:sz w:val="22"/>
          <w:szCs w:val="22"/>
        </w:rPr>
        <w:t>, sales tax,</w:t>
      </w:r>
      <w:r>
        <w:rPr>
          <w:rFonts w:ascii="Arial" w:hAnsi="Arial" w:cs="Arial"/>
          <w:sz w:val="22"/>
          <w:szCs w:val="22"/>
        </w:rPr>
        <w:t xml:space="preserve"> any costs that are found to be unnecessary or unreasonable to the activity of the service center.</w:t>
      </w:r>
    </w:p>
    <w:p w14:paraId="4664B57B" w14:textId="77777777" w:rsidR="00E407E8" w:rsidRPr="00F73DD7" w:rsidRDefault="00E407E8" w:rsidP="00E407E8">
      <w:pPr>
        <w:pStyle w:val="PlainText"/>
        <w:ind w:left="60"/>
        <w:rPr>
          <w:rFonts w:ascii="Arial" w:hAnsi="Arial" w:cs="Arial"/>
          <w:sz w:val="22"/>
          <w:szCs w:val="22"/>
        </w:rPr>
      </w:pPr>
    </w:p>
    <w:p w14:paraId="20930FE5" w14:textId="22158B36" w:rsidR="00E407E8" w:rsidRDefault="00E407E8" w:rsidP="00E407E8">
      <w:pPr>
        <w:pStyle w:val="PlainText"/>
        <w:rPr>
          <w:rFonts w:ascii="Arial" w:hAnsi="Arial" w:cs="Arial"/>
          <w:sz w:val="22"/>
          <w:szCs w:val="22"/>
        </w:rPr>
      </w:pPr>
      <w:r w:rsidRPr="00985E50">
        <w:rPr>
          <w:rFonts w:ascii="Arial" w:hAnsi="Arial" w:cs="Arial"/>
          <w:b/>
          <w:sz w:val="22"/>
          <w:szCs w:val="22"/>
        </w:rPr>
        <w:t>Designated Service Center Funds:</w:t>
      </w:r>
      <w:r>
        <w:rPr>
          <w:rFonts w:ascii="Arial" w:hAnsi="Arial" w:cs="Arial"/>
          <w:sz w:val="22"/>
          <w:szCs w:val="22"/>
        </w:rPr>
        <w:t xml:space="preserve"> Service Center Funds (D6xxxxx) for </w:t>
      </w:r>
      <w:r w:rsidR="001D13F1">
        <w:rPr>
          <w:rFonts w:ascii="Arial" w:hAnsi="Arial" w:cs="Arial"/>
          <w:sz w:val="22"/>
          <w:szCs w:val="22"/>
        </w:rPr>
        <w:t>recovery of expenses,</w:t>
      </w:r>
      <w:r>
        <w:rPr>
          <w:rFonts w:ascii="Arial" w:hAnsi="Arial" w:cs="Arial"/>
          <w:sz w:val="22"/>
          <w:szCs w:val="22"/>
        </w:rPr>
        <w:t xml:space="preserve"> expenses, and transfers of designated service centers</w:t>
      </w:r>
    </w:p>
    <w:p w14:paraId="44D5805C" w14:textId="77777777" w:rsidR="00E407E8" w:rsidRDefault="00E407E8" w:rsidP="00E407E8">
      <w:pPr>
        <w:pStyle w:val="PlainText"/>
        <w:rPr>
          <w:rFonts w:ascii="Arial" w:hAnsi="Arial" w:cs="Arial"/>
          <w:sz w:val="22"/>
          <w:szCs w:val="22"/>
        </w:rPr>
      </w:pPr>
    </w:p>
    <w:p w14:paraId="4DAA1DCA" w14:textId="77777777" w:rsidR="00E407E8" w:rsidRDefault="00E407E8" w:rsidP="00E407E8">
      <w:pPr>
        <w:pStyle w:val="PlainText"/>
        <w:rPr>
          <w:rFonts w:ascii="Arial" w:hAnsi="Arial" w:cs="Arial"/>
          <w:sz w:val="22"/>
          <w:szCs w:val="22"/>
        </w:rPr>
      </w:pPr>
      <w:r w:rsidRPr="00685184">
        <w:rPr>
          <w:rFonts w:ascii="Arial" w:hAnsi="Arial" w:cs="Arial"/>
          <w:b/>
          <w:sz w:val="22"/>
          <w:szCs w:val="22"/>
        </w:rPr>
        <w:t>Renewal and Replacement Funds</w:t>
      </w:r>
      <w:r>
        <w:rPr>
          <w:rFonts w:ascii="Arial" w:hAnsi="Arial" w:cs="Arial"/>
          <w:b/>
          <w:sz w:val="22"/>
          <w:szCs w:val="22"/>
        </w:rPr>
        <w:t>:</w:t>
      </w:r>
      <w:r w:rsidRPr="00F73DD7">
        <w:rPr>
          <w:rFonts w:ascii="Arial" w:hAnsi="Arial" w:cs="Arial"/>
          <w:sz w:val="22"/>
          <w:szCs w:val="22"/>
        </w:rPr>
        <w:t xml:space="preserve"> </w:t>
      </w:r>
      <w:r>
        <w:rPr>
          <w:rFonts w:ascii="Arial" w:hAnsi="Arial" w:cs="Arial"/>
          <w:sz w:val="22"/>
          <w:szCs w:val="22"/>
        </w:rPr>
        <w:t>Plant Funds (P6xxxxx) are funded from</w:t>
      </w:r>
      <w:r w:rsidRPr="00F73DD7">
        <w:rPr>
          <w:rFonts w:ascii="Arial" w:hAnsi="Arial" w:cs="Arial"/>
          <w:sz w:val="22"/>
          <w:szCs w:val="22"/>
        </w:rPr>
        <w:t xml:space="preserve"> sources such as depreciation </w:t>
      </w:r>
      <w:r w:rsidR="003246FD">
        <w:rPr>
          <w:rFonts w:ascii="Arial" w:hAnsi="Arial" w:cs="Arial"/>
          <w:sz w:val="22"/>
          <w:szCs w:val="22"/>
        </w:rPr>
        <w:t xml:space="preserve">and funds are </w:t>
      </w:r>
      <w:r w:rsidRPr="00F73DD7">
        <w:rPr>
          <w:rFonts w:ascii="Arial" w:hAnsi="Arial" w:cs="Arial"/>
          <w:sz w:val="22"/>
          <w:szCs w:val="22"/>
        </w:rPr>
        <w:t xml:space="preserve">set aside to be used for renewal and replacement of physical properties (e.g. equipment purchases). </w:t>
      </w:r>
    </w:p>
    <w:p w14:paraId="1245BC75" w14:textId="77777777" w:rsidR="00357425" w:rsidRDefault="00357425" w:rsidP="00E407E8">
      <w:pPr>
        <w:pStyle w:val="PlainText"/>
        <w:rPr>
          <w:rFonts w:ascii="Arial" w:hAnsi="Arial" w:cs="Arial"/>
          <w:sz w:val="22"/>
          <w:szCs w:val="22"/>
        </w:rPr>
      </w:pPr>
    </w:p>
    <w:p w14:paraId="185B8177" w14:textId="77777777" w:rsidR="006030D6" w:rsidRDefault="006030D6" w:rsidP="00E407E8">
      <w:pPr>
        <w:pStyle w:val="PlainText"/>
        <w:rPr>
          <w:rFonts w:ascii="Arial" w:hAnsi="Arial" w:cs="Arial"/>
          <w:sz w:val="22"/>
          <w:szCs w:val="22"/>
        </w:rPr>
      </w:pPr>
    </w:p>
    <w:p w14:paraId="0982651C" w14:textId="394F9642" w:rsidR="00E407E8" w:rsidRDefault="00162C79" w:rsidP="00CA0181">
      <w:pPr>
        <w:pStyle w:val="PlainText"/>
        <w:rPr>
          <w:rFonts w:ascii="Times New Roman" w:eastAsia="Times New Roman" w:hAnsi="Times New Roman"/>
          <w:sz w:val="24"/>
          <w:szCs w:val="24"/>
          <w:lang w:val="af-ZA"/>
        </w:rPr>
      </w:pPr>
      <w:r>
        <w:rPr>
          <w:noProof/>
        </w:rPr>
        <w:pict w14:anchorId="678DB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ost Center Stucture" style="position:absolute;margin-left:42.5pt;margin-top:38.9pt;width:277.5pt;height:106.75pt;z-index:-251658240;mso-position-horizontal:absolute;mso-position-horizontal-relative:text;mso-position-vertical:absolute;mso-position-vertical-relative:text">
            <v:imagedata r:id="rId13" o:title="1418138777293"/>
          </v:shape>
        </w:pict>
      </w:r>
      <w:r w:rsidR="00E407E8" w:rsidRPr="00EB783B">
        <w:rPr>
          <w:rFonts w:ascii="Arial" w:hAnsi="Arial" w:cs="Arial"/>
          <w:b/>
          <w:sz w:val="22"/>
          <w:szCs w:val="22"/>
        </w:rPr>
        <w:t>Cost Centers:</w:t>
      </w:r>
      <w:r w:rsidR="00E407E8">
        <w:rPr>
          <w:rFonts w:ascii="Arial" w:hAnsi="Arial" w:cs="Arial"/>
          <w:sz w:val="22"/>
          <w:szCs w:val="22"/>
        </w:rPr>
        <w:t xml:space="preserve"> </w:t>
      </w:r>
      <w:r w:rsidR="00E407E8" w:rsidRPr="00EB783B">
        <w:rPr>
          <w:rFonts w:ascii="Arial" w:hAnsi="Arial" w:cs="Arial"/>
          <w:sz w:val="22"/>
          <w:szCs w:val="22"/>
        </w:rPr>
        <w:t>Cost centers are utilized to segregate financial activity (</w:t>
      </w:r>
      <w:r w:rsidR="001D13F1" w:rsidRPr="00EB783B">
        <w:rPr>
          <w:rFonts w:ascii="Arial" w:hAnsi="Arial" w:cs="Arial"/>
          <w:sz w:val="22"/>
          <w:szCs w:val="22"/>
        </w:rPr>
        <w:t>re</w:t>
      </w:r>
      <w:r w:rsidR="001D13F1">
        <w:rPr>
          <w:rFonts w:ascii="Arial" w:hAnsi="Arial" w:cs="Arial"/>
          <w:sz w:val="22"/>
          <w:szCs w:val="22"/>
        </w:rPr>
        <w:t>covery</w:t>
      </w:r>
      <w:r w:rsidR="00E407E8" w:rsidRPr="00EB783B">
        <w:rPr>
          <w:rFonts w:ascii="Arial" w:hAnsi="Arial" w:cs="Arial"/>
          <w:sz w:val="22"/>
          <w:szCs w:val="22"/>
        </w:rPr>
        <w:t>, expenses and transfers) based on the type of operation at the University and are pivotal to the budgeting process.  There is a numbering logic imbedded in the 10-digit cost center number contained in UC Flex</w:t>
      </w:r>
      <w:r w:rsidR="00E407E8">
        <w:rPr>
          <w:rFonts w:ascii="Arial" w:hAnsi="Arial" w:cs="Arial"/>
          <w:sz w:val="22"/>
          <w:szCs w:val="22"/>
        </w:rPr>
        <w:t>.</w:t>
      </w:r>
    </w:p>
    <w:p w14:paraId="6A6DA375" w14:textId="77777777" w:rsidR="00CA0181" w:rsidRDefault="00CA0181" w:rsidP="00E407E8">
      <w:pPr>
        <w:pStyle w:val="PlainText"/>
        <w:ind w:left="720" w:firstLine="720"/>
        <w:rPr>
          <w:rFonts w:ascii="Arial" w:hAnsi="Arial" w:cs="Arial"/>
          <w:sz w:val="22"/>
          <w:szCs w:val="22"/>
        </w:rPr>
      </w:pPr>
    </w:p>
    <w:p w14:paraId="0B24B9DE" w14:textId="77777777" w:rsidR="00A33F3C" w:rsidRDefault="00A33F3C" w:rsidP="00E407E8">
      <w:pPr>
        <w:pStyle w:val="PlainText"/>
        <w:rPr>
          <w:rFonts w:ascii="Arial" w:hAnsi="Arial" w:cs="Arial"/>
          <w:b/>
          <w:sz w:val="22"/>
          <w:szCs w:val="22"/>
        </w:rPr>
      </w:pPr>
    </w:p>
    <w:p w14:paraId="1AFB1E84" w14:textId="77777777" w:rsidR="00357425" w:rsidRDefault="00357425" w:rsidP="00E407E8">
      <w:pPr>
        <w:pStyle w:val="PlainText"/>
        <w:rPr>
          <w:rFonts w:ascii="Arial" w:hAnsi="Arial" w:cs="Arial"/>
          <w:b/>
          <w:sz w:val="22"/>
          <w:szCs w:val="22"/>
        </w:rPr>
      </w:pPr>
    </w:p>
    <w:p w14:paraId="2ECE6F84" w14:textId="77777777" w:rsidR="00357425" w:rsidRDefault="00357425" w:rsidP="00E407E8">
      <w:pPr>
        <w:pStyle w:val="PlainText"/>
        <w:rPr>
          <w:rFonts w:ascii="Arial" w:hAnsi="Arial" w:cs="Arial"/>
          <w:b/>
          <w:sz w:val="22"/>
          <w:szCs w:val="22"/>
        </w:rPr>
      </w:pPr>
    </w:p>
    <w:p w14:paraId="4098F252" w14:textId="77777777" w:rsidR="00357425" w:rsidRDefault="00357425" w:rsidP="00E407E8">
      <w:pPr>
        <w:pStyle w:val="PlainText"/>
        <w:rPr>
          <w:rFonts w:ascii="Arial" w:hAnsi="Arial" w:cs="Arial"/>
          <w:b/>
          <w:sz w:val="22"/>
          <w:szCs w:val="22"/>
        </w:rPr>
      </w:pPr>
    </w:p>
    <w:p w14:paraId="469505B0" w14:textId="77777777" w:rsidR="00357425" w:rsidRDefault="00357425" w:rsidP="00E407E8">
      <w:pPr>
        <w:pStyle w:val="PlainText"/>
        <w:rPr>
          <w:rFonts w:ascii="Arial" w:hAnsi="Arial" w:cs="Arial"/>
          <w:b/>
          <w:sz w:val="22"/>
          <w:szCs w:val="22"/>
        </w:rPr>
      </w:pPr>
    </w:p>
    <w:p w14:paraId="5E07F8DE" w14:textId="77777777" w:rsidR="00357425" w:rsidRDefault="00357425" w:rsidP="00E407E8">
      <w:pPr>
        <w:pStyle w:val="PlainText"/>
        <w:rPr>
          <w:rFonts w:ascii="Arial" w:hAnsi="Arial" w:cs="Arial"/>
          <w:b/>
          <w:sz w:val="22"/>
          <w:szCs w:val="22"/>
        </w:rPr>
      </w:pPr>
    </w:p>
    <w:p w14:paraId="0DBB878D" w14:textId="77777777" w:rsidR="00C9066E" w:rsidRDefault="00C9066E" w:rsidP="00E407E8">
      <w:pPr>
        <w:pStyle w:val="PlainText"/>
        <w:rPr>
          <w:rFonts w:ascii="Arial" w:hAnsi="Arial" w:cs="Arial"/>
          <w:sz w:val="22"/>
          <w:szCs w:val="22"/>
        </w:rPr>
      </w:pPr>
    </w:p>
    <w:p w14:paraId="4B0C7BBA" w14:textId="37523547" w:rsidR="00C9066E" w:rsidRPr="009924C0" w:rsidRDefault="00C9066E">
      <w:pPr>
        <w:pStyle w:val="PlainText"/>
        <w:rPr>
          <w:rFonts w:ascii="Arial" w:hAnsi="Arial" w:cs="Arial"/>
          <w:sz w:val="22"/>
          <w:szCs w:val="22"/>
        </w:rPr>
      </w:pPr>
      <w:r w:rsidRPr="009924C0">
        <w:rPr>
          <w:rFonts w:ascii="Arial" w:hAnsi="Arial" w:cs="Arial"/>
        </w:rPr>
        <w:t>For example</w:t>
      </w:r>
      <w:r>
        <w:rPr>
          <w:rFonts w:ascii="Arial" w:hAnsi="Arial" w:cs="Arial"/>
          <w:sz w:val="22"/>
          <w:szCs w:val="22"/>
        </w:rPr>
        <w:t xml:space="preserve"> </w:t>
      </w:r>
      <w:r w:rsidR="00F2020D">
        <w:rPr>
          <w:rFonts w:ascii="Arial" w:hAnsi="Arial" w:cs="Arial"/>
          <w:sz w:val="22"/>
          <w:szCs w:val="22"/>
        </w:rPr>
        <w:t xml:space="preserve">in </w:t>
      </w:r>
      <w:r>
        <w:rPr>
          <w:rFonts w:ascii="Arial" w:hAnsi="Arial" w:cs="Arial"/>
          <w:sz w:val="22"/>
          <w:szCs w:val="22"/>
        </w:rPr>
        <w:t>the cost center of</w:t>
      </w:r>
      <w:r w:rsidRPr="009924C0">
        <w:rPr>
          <w:rFonts w:ascii="Arial" w:hAnsi="Arial" w:cs="Arial"/>
        </w:rPr>
        <w:t xml:space="preserve"> 6262400000</w:t>
      </w:r>
      <w:r w:rsidR="00F2020D">
        <w:rPr>
          <w:rFonts w:ascii="Arial" w:hAnsi="Arial" w:cs="Arial"/>
          <w:sz w:val="22"/>
          <w:szCs w:val="22"/>
        </w:rPr>
        <w:t>, the</w:t>
      </w:r>
      <w:r w:rsidRPr="009924C0">
        <w:rPr>
          <w:rFonts w:ascii="Arial" w:hAnsi="Arial" w:cs="Arial"/>
        </w:rPr>
        <w:t xml:space="preserve"> </w:t>
      </w:r>
      <w:r>
        <w:rPr>
          <w:rFonts w:ascii="Arial" w:hAnsi="Arial" w:cs="Arial"/>
          <w:sz w:val="22"/>
          <w:szCs w:val="22"/>
        </w:rPr>
        <w:t xml:space="preserve">first three digits of </w:t>
      </w:r>
      <w:r w:rsidRPr="009924C0">
        <w:rPr>
          <w:rFonts w:ascii="Arial" w:hAnsi="Arial" w:cs="Arial"/>
          <w:sz w:val="22"/>
          <w:szCs w:val="22"/>
        </w:rPr>
        <w:t>626 would represent the College of Medicine</w:t>
      </w:r>
      <w:r>
        <w:rPr>
          <w:rFonts w:ascii="Arial" w:hAnsi="Arial" w:cs="Arial"/>
          <w:sz w:val="22"/>
          <w:szCs w:val="22"/>
        </w:rPr>
        <w:t xml:space="preserve"> &amp; the following two digits of </w:t>
      </w:r>
      <w:r w:rsidRPr="009924C0">
        <w:rPr>
          <w:rFonts w:ascii="Arial" w:hAnsi="Arial" w:cs="Arial"/>
          <w:sz w:val="22"/>
          <w:szCs w:val="22"/>
        </w:rPr>
        <w:t>24 would represent the Department of Internal Medicine</w:t>
      </w:r>
    </w:p>
    <w:p w14:paraId="1687092E" w14:textId="77777777" w:rsidR="00A736A7" w:rsidRDefault="00A736A7" w:rsidP="00E407E8">
      <w:pPr>
        <w:pStyle w:val="PlainText"/>
        <w:rPr>
          <w:rFonts w:ascii="Arial" w:hAnsi="Arial" w:cs="Arial"/>
          <w:b/>
          <w:sz w:val="22"/>
          <w:szCs w:val="22"/>
        </w:rPr>
      </w:pPr>
    </w:p>
    <w:p w14:paraId="5626DFDA" w14:textId="501C549C" w:rsidR="00F2020D" w:rsidRDefault="00F2020D" w:rsidP="00E407E8">
      <w:pPr>
        <w:pStyle w:val="PlainText"/>
        <w:rPr>
          <w:rFonts w:ascii="Arial" w:hAnsi="Arial" w:cs="Arial"/>
          <w:b/>
          <w:sz w:val="22"/>
          <w:szCs w:val="22"/>
        </w:rPr>
      </w:pPr>
    </w:p>
    <w:p w14:paraId="69E6D031" w14:textId="77777777" w:rsidR="00F2020D" w:rsidRDefault="00F2020D" w:rsidP="00E407E8">
      <w:pPr>
        <w:pStyle w:val="PlainText"/>
        <w:rPr>
          <w:rFonts w:ascii="Arial" w:hAnsi="Arial" w:cs="Arial"/>
          <w:b/>
          <w:sz w:val="22"/>
          <w:szCs w:val="22"/>
        </w:rPr>
      </w:pPr>
    </w:p>
    <w:p w14:paraId="35345A88" w14:textId="77777777" w:rsidR="00E407E8" w:rsidRDefault="00E407E8" w:rsidP="00E407E8">
      <w:pPr>
        <w:pStyle w:val="PlainText"/>
        <w:rPr>
          <w:rFonts w:ascii="Arial" w:hAnsi="Arial" w:cs="Arial"/>
          <w:sz w:val="22"/>
          <w:szCs w:val="22"/>
        </w:rPr>
      </w:pPr>
      <w:r w:rsidRPr="00685184">
        <w:rPr>
          <w:rFonts w:ascii="Arial" w:hAnsi="Arial" w:cs="Arial"/>
          <w:b/>
          <w:sz w:val="22"/>
          <w:szCs w:val="22"/>
        </w:rPr>
        <w:t>Internal User:</w:t>
      </w:r>
      <w:r w:rsidRPr="00CF3F6C">
        <w:rPr>
          <w:rFonts w:ascii="Arial" w:hAnsi="Arial" w:cs="Arial"/>
          <w:sz w:val="22"/>
          <w:szCs w:val="22"/>
        </w:rPr>
        <w:t xml:space="preserve"> Any user who pays for the service from a source of funds on University </w:t>
      </w:r>
      <w:r>
        <w:rPr>
          <w:rFonts w:ascii="Arial" w:hAnsi="Arial" w:cs="Arial"/>
          <w:sz w:val="22"/>
          <w:szCs w:val="22"/>
        </w:rPr>
        <w:t>books including unrestricted undesignated funds, unrestricted designated funds, and restricted funds from gift funds or endowment funds</w:t>
      </w:r>
      <w:r w:rsidRPr="00CF3F6C">
        <w:rPr>
          <w:rFonts w:ascii="Arial" w:hAnsi="Arial" w:cs="Arial"/>
          <w:sz w:val="22"/>
          <w:szCs w:val="22"/>
        </w:rPr>
        <w:t xml:space="preserve">.  </w:t>
      </w:r>
    </w:p>
    <w:p w14:paraId="62C3C048" w14:textId="77777777" w:rsidR="00E407E8" w:rsidRDefault="00E407E8" w:rsidP="00E407E8">
      <w:pPr>
        <w:pStyle w:val="PlainText"/>
        <w:ind w:left="1080"/>
        <w:rPr>
          <w:rFonts w:ascii="Arial" w:hAnsi="Arial" w:cs="Arial"/>
          <w:sz w:val="22"/>
          <w:szCs w:val="22"/>
        </w:rPr>
      </w:pPr>
    </w:p>
    <w:p w14:paraId="0AB47994" w14:textId="77777777" w:rsidR="00E407E8" w:rsidRPr="00CF3F6C" w:rsidRDefault="00E407E8" w:rsidP="00E407E8">
      <w:pPr>
        <w:pStyle w:val="PlainText"/>
        <w:rPr>
          <w:rFonts w:ascii="Arial" w:hAnsi="Arial" w:cs="Arial"/>
          <w:sz w:val="22"/>
          <w:szCs w:val="22"/>
        </w:rPr>
      </w:pPr>
      <w:r w:rsidRPr="00685184">
        <w:rPr>
          <w:rFonts w:ascii="Arial" w:hAnsi="Arial" w:cs="Arial"/>
          <w:b/>
          <w:sz w:val="22"/>
          <w:szCs w:val="22"/>
        </w:rPr>
        <w:t>Federal User:</w:t>
      </w:r>
      <w:r>
        <w:rPr>
          <w:rFonts w:ascii="Arial" w:hAnsi="Arial" w:cs="Arial"/>
          <w:sz w:val="22"/>
          <w:szCs w:val="22"/>
        </w:rPr>
        <w:t xml:space="preserve"> Any user who pays for the service from a federal source including sponsored program funds and external federal customers.</w:t>
      </w:r>
    </w:p>
    <w:p w14:paraId="48A8DA10" w14:textId="77777777" w:rsidR="00E407E8" w:rsidRDefault="00E407E8" w:rsidP="00E407E8">
      <w:pPr>
        <w:pStyle w:val="PlainText"/>
        <w:ind w:left="720"/>
        <w:rPr>
          <w:rFonts w:ascii="Arial" w:hAnsi="Arial" w:cs="Arial"/>
          <w:sz w:val="22"/>
          <w:szCs w:val="22"/>
        </w:rPr>
      </w:pPr>
    </w:p>
    <w:p w14:paraId="10C2739A" w14:textId="794E448F" w:rsidR="00E407E8" w:rsidRPr="00CF3F6C" w:rsidRDefault="00E407E8" w:rsidP="00E407E8">
      <w:pPr>
        <w:pStyle w:val="PlainText"/>
        <w:rPr>
          <w:rFonts w:ascii="Arial" w:hAnsi="Arial" w:cs="Arial"/>
        </w:rPr>
      </w:pPr>
      <w:r w:rsidRPr="00685184">
        <w:rPr>
          <w:rFonts w:ascii="Arial" w:hAnsi="Arial" w:cs="Arial"/>
          <w:b/>
          <w:sz w:val="22"/>
          <w:szCs w:val="22"/>
        </w:rPr>
        <w:t>External User:</w:t>
      </w:r>
      <w:r w:rsidRPr="00CF3F6C">
        <w:rPr>
          <w:rFonts w:ascii="Arial" w:hAnsi="Arial" w:cs="Arial"/>
          <w:sz w:val="22"/>
          <w:szCs w:val="22"/>
        </w:rPr>
        <w:t xml:space="preserve"> Any </w:t>
      </w:r>
      <w:r>
        <w:rPr>
          <w:rFonts w:ascii="Arial" w:hAnsi="Arial" w:cs="Arial"/>
          <w:sz w:val="22"/>
          <w:szCs w:val="22"/>
        </w:rPr>
        <w:t xml:space="preserve">non-federal </w:t>
      </w:r>
      <w:r w:rsidRPr="00CF3F6C">
        <w:rPr>
          <w:rFonts w:ascii="Arial" w:hAnsi="Arial" w:cs="Arial"/>
          <w:sz w:val="22"/>
          <w:szCs w:val="22"/>
        </w:rPr>
        <w:t xml:space="preserve">user who pays for the service from a source of funds not on University books. </w:t>
      </w:r>
      <w:r w:rsidR="001D13F1">
        <w:rPr>
          <w:rFonts w:ascii="Arial" w:hAnsi="Arial" w:cs="Arial"/>
          <w:sz w:val="22"/>
          <w:szCs w:val="22"/>
        </w:rPr>
        <w:t xml:space="preserve">Recovery </w:t>
      </w:r>
      <w:r w:rsidR="00B14F71">
        <w:rPr>
          <w:rFonts w:ascii="Arial" w:hAnsi="Arial" w:cs="Arial"/>
          <w:sz w:val="22"/>
          <w:szCs w:val="22"/>
        </w:rPr>
        <w:t>generated from External users are subject to the University’s business assessment tax.</w:t>
      </w:r>
    </w:p>
    <w:p w14:paraId="0ED9A1FB" w14:textId="77777777" w:rsidR="00E407E8" w:rsidRPr="00CF3F6C" w:rsidRDefault="00E407E8" w:rsidP="00E407E8">
      <w:pPr>
        <w:pStyle w:val="PlainText"/>
        <w:rPr>
          <w:rFonts w:ascii="Arial" w:hAnsi="Arial" w:cs="Arial"/>
        </w:rPr>
      </w:pPr>
    </w:p>
    <w:p w14:paraId="4E27D527" w14:textId="77777777" w:rsidR="00E407E8" w:rsidRPr="00F73DD7" w:rsidRDefault="00E407E8" w:rsidP="00E407E8">
      <w:pPr>
        <w:pStyle w:val="PlainText"/>
        <w:rPr>
          <w:rFonts w:ascii="Arial" w:hAnsi="Arial" w:cs="Arial"/>
          <w:sz w:val="22"/>
          <w:szCs w:val="22"/>
        </w:rPr>
      </w:pPr>
      <w:r w:rsidRPr="00685184">
        <w:rPr>
          <w:rFonts w:ascii="Arial" w:hAnsi="Arial" w:cs="Arial"/>
          <w:b/>
          <w:sz w:val="22"/>
          <w:szCs w:val="22"/>
        </w:rPr>
        <w:t>Affiliated User:</w:t>
      </w:r>
      <w:r>
        <w:rPr>
          <w:rFonts w:ascii="Arial" w:hAnsi="Arial" w:cs="Arial"/>
          <w:sz w:val="22"/>
          <w:szCs w:val="22"/>
        </w:rPr>
        <w:t xml:space="preserve"> A</w:t>
      </w:r>
      <w:r w:rsidR="003246FD">
        <w:rPr>
          <w:rFonts w:ascii="Arial" w:hAnsi="Arial" w:cs="Arial"/>
          <w:sz w:val="22"/>
          <w:szCs w:val="22"/>
        </w:rPr>
        <w:t>n</w:t>
      </w:r>
      <w:r>
        <w:rPr>
          <w:rFonts w:ascii="Arial" w:hAnsi="Arial" w:cs="Arial"/>
          <w:sz w:val="22"/>
          <w:szCs w:val="22"/>
        </w:rPr>
        <w:t xml:space="preserve"> external user that provides a service that benefits the University and is treated as an internal unit. An example affiliate user would be Cincinnati Children’s Hospital Medical Center.</w:t>
      </w:r>
    </w:p>
    <w:p w14:paraId="69291122" w14:textId="77777777" w:rsidR="00E407E8" w:rsidRDefault="00E407E8" w:rsidP="00E407E8">
      <w:pPr>
        <w:pStyle w:val="PlainText"/>
        <w:ind w:left="555"/>
        <w:rPr>
          <w:rFonts w:ascii="Arial" w:hAnsi="Arial" w:cs="Arial"/>
          <w:sz w:val="22"/>
          <w:szCs w:val="22"/>
        </w:rPr>
      </w:pPr>
    </w:p>
    <w:p w14:paraId="678328A1" w14:textId="77777777" w:rsidR="00E407E8" w:rsidRDefault="00E407E8" w:rsidP="00E407E8">
      <w:pPr>
        <w:pStyle w:val="PlainText"/>
        <w:rPr>
          <w:rFonts w:ascii="Arial" w:hAnsi="Arial" w:cs="Arial"/>
          <w:sz w:val="22"/>
          <w:szCs w:val="22"/>
        </w:rPr>
      </w:pPr>
    </w:p>
    <w:p w14:paraId="2DBA9C2E" w14:textId="77777777" w:rsidR="00A33F3C" w:rsidRDefault="00A33F3C" w:rsidP="00E407E8">
      <w:pPr>
        <w:pStyle w:val="PlainText"/>
        <w:rPr>
          <w:rFonts w:ascii="Arial" w:hAnsi="Arial" w:cs="Arial"/>
          <w:sz w:val="22"/>
          <w:szCs w:val="22"/>
        </w:rPr>
      </w:pPr>
    </w:p>
    <w:p w14:paraId="6B065591" w14:textId="77777777" w:rsidR="00A33F3C" w:rsidRDefault="00A33F3C" w:rsidP="00E407E8">
      <w:pPr>
        <w:pStyle w:val="PlainText"/>
        <w:rPr>
          <w:rFonts w:ascii="Arial" w:hAnsi="Arial" w:cs="Arial"/>
          <w:sz w:val="22"/>
          <w:szCs w:val="22"/>
        </w:rPr>
      </w:pPr>
    </w:p>
    <w:p w14:paraId="6D0D991A" w14:textId="77777777" w:rsidR="00A33F3C" w:rsidRDefault="00A33F3C" w:rsidP="00E407E8">
      <w:pPr>
        <w:pStyle w:val="PlainText"/>
        <w:rPr>
          <w:rFonts w:ascii="Arial" w:hAnsi="Arial" w:cs="Arial"/>
          <w:sz w:val="22"/>
          <w:szCs w:val="22"/>
        </w:rPr>
      </w:pPr>
    </w:p>
    <w:p w14:paraId="3DB77D58" w14:textId="77777777" w:rsidR="00A33F3C" w:rsidRDefault="00A33F3C" w:rsidP="00E407E8">
      <w:pPr>
        <w:pStyle w:val="PlainText"/>
        <w:rPr>
          <w:rFonts w:ascii="Arial" w:hAnsi="Arial" w:cs="Arial"/>
          <w:sz w:val="22"/>
          <w:szCs w:val="22"/>
        </w:rPr>
      </w:pPr>
    </w:p>
    <w:p w14:paraId="43507F65" w14:textId="77777777" w:rsidR="00A33F3C" w:rsidRDefault="00A33F3C" w:rsidP="00E407E8">
      <w:pPr>
        <w:pStyle w:val="PlainText"/>
        <w:rPr>
          <w:rFonts w:ascii="Arial" w:hAnsi="Arial" w:cs="Arial"/>
          <w:sz w:val="22"/>
          <w:szCs w:val="22"/>
        </w:rPr>
      </w:pPr>
    </w:p>
    <w:p w14:paraId="02342B26" w14:textId="77777777" w:rsidR="00A33F3C" w:rsidRDefault="00A33F3C" w:rsidP="00E407E8">
      <w:pPr>
        <w:pStyle w:val="PlainText"/>
        <w:rPr>
          <w:rFonts w:ascii="Arial" w:hAnsi="Arial" w:cs="Arial"/>
          <w:sz w:val="22"/>
          <w:szCs w:val="22"/>
        </w:rPr>
      </w:pPr>
    </w:p>
    <w:p w14:paraId="26680209" w14:textId="77777777" w:rsidR="00A33F3C" w:rsidRDefault="00A33F3C" w:rsidP="00E407E8">
      <w:pPr>
        <w:pStyle w:val="PlainText"/>
        <w:rPr>
          <w:rFonts w:ascii="Arial" w:hAnsi="Arial" w:cs="Arial"/>
          <w:sz w:val="22"/>
          <w:szCs w:val="22"/>
        </w:rPr>
      </w:pPr>
    </w:p>
    <w:p w14:paraId="7F22D3B5" w14:textId="77777777" w:rsidR="00A33F3C" w:rsidRDefault="00A33F3C" w:rsidP="00E407E8">
      <w:pPr>
        <w:pStyle w:val="PlainText"/>
        <w:rPr>
          <w:rFonts w:ascii="Arial" w:hAnsi="Arial" w:cs="Arial"/>
          <w:sz w:val="22"/>
          <w:szCs w:val="22"/>
        </w:rPr>
      </w:pPr>
    </w:p>
    <w:p w14:paraId="7620BFAF" w14:textId="77777777" w:rsidR="00A33F3C" w:rsidRDefault="00A33F3C" w:rsidP="00E407E8">
      <w:pPr>
        <w:pStyle w:val="PlainText"/>
        <w:rPr>
          <w:rFonts w:ascii="Arial" w:hAnsi="Arial" w:cs="Arial"/>
          <w:sz w:val="22"/>
          <w:szCs w:val="22"/>
        </w:rPr>
      </w:pPr>
    </w:p>
    <w:p w14:paraId="6166A35E" w14:textId="77777777" w:rsidR="00A33F3C" w:rsidRDefault="00A33F3C" w:rsidP="00E407E8">
      <w:pPr>
        <w:pStyle w:val="PlainText"/>
        <w:rPr>
          <w:rFonts w:ascii="Arial" w:hAnsi="Arial" w:cs="Arial"/>
          <w:sz w:val="22"/>
          <w:szCs w:val="22"/>
        </w:rPr>
      </w:pPr>
    </w:p>
    <w:p w14:paraId="399644A9" w14:textId="77777777" w:rsidR="00A33F3C" w:rsidRDefault="00A33F3C" w:rsidP="00E407E8">
      <w:pPr>
        <w:pStyle w:val="PlainText"/>
        <w:rPr>
          <w:rFonts w:ascii="Arial" w:hAnsi="Arial" w:cs="Arial"/>
          <w:sz w:val="22"/>
          <w:szCs w:val="22"/>
        </w:rPr>
      </w:pPr>
    </w:p>
    <w:p w14:paraId="54D4D65E" w14:textId="77777777" w:rsidR="00A33F3C" w:rsidRDefault="00A33F3C" w:rsidP="00E407E8">
      <w:pPr>
        <w:pStyle w:val="PlainText"/>
        <w:rPr>
          <w:rFonts w:ascii="Arial" w:hAnsi="Arial" w:cs="Arial"/>
          <w:sz w:val="22"/>
          <w:szCs w:val="22"/>
        </w:rPr>
      </w:pPr>
    </w:p>
    <w:p w14:paraId="0430BF3A" w14:textId="77777777" w:rsidR="00A33F3C" w:rsidRDefault="00A33F3C" w:rsidP="00E407E8">
      <w:pPr>
        <w:pStyle w:val="PlainText"/>
        <w:rPr>
          <w:rFonts w:ascii="Arial" w:hAnsi="Arial" w:cs="Arial"/>
          <w:sz w:val="22"/>
          <w:szCs w:val="22"/>
        </w:rPr>
      </w:pPr>
    </w:p>
    <w:p w14:paraId="5D24B6D6" w14:textId="77777777" w:rsidR="00A33F3C" w:rsidRDefault="00A33F3C" w:rsidP="00E407E8">
      <w:pPr>
        <w:pStyle w:val="PlainText"/>
        <w:rPr>
          <w:rFonts w:ascii="Arial" w:hAnsi="Arial" w:cs="Arial"/>
          <w:sz w:val="22"/>
          <w:szCs w:val="22"/>
        </w:rPr>
      </w:pPr>
    </w:p>
    <w:p w14:paraId="6487145E" w14:textId="77777777" w:rsidR="00A33F3C" w:rsidRDefault="00A33F3C" w:rsidP="00E407E8">
      <w:pPr>
        <w:pStyle w:val="PlainText"/>
        <w:rPr>
          <w:rFonts w:ascii="Arial" w:hAnsi="Arial" w:cs="Arial"/>
          <w:sz w:val="22"/>
          <w:szCs w:val="22"/>
        </w:rPr>
      </w:pPr>
    </w:p>
    <w:p w14:paraId="2D25582E" w14:textId="77777777" w:rsidR="00A33F3C" w:rsidRDefault="00A33F3C" w:rsidP="00E407E8">
      <w:pPr>
        <w:pStyle w:val="PlainText"/>
        <w:rPr>
          <w:rFonts w:ascii="Arial" w:hAnsi="Arial" w:cs="Arial"/>
          <w:sz w:val="22"/>
          <w:szCs w:val="22"/>
        </w:rPr>
      </w:pPr>
    </w:p>
    <w:p w14:paraId="0CB4A41F" w14:textId="77777777" w:rsidR="00A33F3C" w:rsidRDefault="00A33F3C" w:rsidP="00E407E8">
      <w:pPr>
        <w:pStyle w:val="PlainText"/>
        <w:rPr>
          <w:rFonts w:ascii="Arial" w:hAnsi="Arial" w:cs="Arial"/>
          <w:sz w:val="22"/>
          <w:szCs w:val="22"/>
        </w:rPr>
      </w:pPr>
    </w:p>
    <w:p w14:paraId="0908F0B6" w14:textId="77777777" w:rsidR="00A33F3C" w:rsidRDefault="00A33F3C" w:rsidP="00E407E8">
      <w:pPr>
        <w:pStyle w:val="PlainText"/>
        <w:rPr>
          <w:rFonts w:ascii="Arial" w:hAnsi="Arial" w:cs="Arial"/>
          <w:sz w:val="22"/>
          <w:szCs w:val="22"/>
        </w:rPr>
      </w:pPr>
    </w:p>
    <w:p w14:paraId="3707397B" w14:textId="77777777" w:rsidR="00A33F3C" w:rsidRDefault="00A33F3C" w:rsidP="00E407E8">
      <w:pPr>
        <w:pStyle w:val="PlainText"/>
        <w:rPr>
          <w:rFonts w:ascii="Arial" w:hAnsi="Arial" w:cs="Arial"/>
          <w:sz w:val="22"/>
          <w:szCs w:val="22"/>
        </w:rPr>
      </w:pPr>
    </w:p>
    <w:p w14:paraId="2B34E27A" w14:textId="77777777" w:rsidR="00A33F3C" w:rsidRDefault="00A33F3C" w:rsidP="00E407E8">
      <w:pPr>
        <w:pStyle w:val="PlainText"/>
        <w:rPr>
          <w:rFonts w:ascii="Arial" w:hAnsi="Arial" w:cs="Arial"/>
          <w:sz w:val="22"/>
          <w:szCs w:val="22"/>
        </w:rPr>
      </w:pPr>
    </w:p>
    <w:p w14:paraId="26E11E0A" w14:textId="77777777" w:rsidR="00A33F3C" w:rsidRDefault="00A33F3C" w:rsidP="00E407E8">
      <w:pPr>
        <w:pStyle w:val="PlainText"/>
        <w:rPr>
          <w:rFonts w:ascii="Arial" w:hAnsi="Arial" w:cs="Arial"/>
          <w:sz w:val="22"/>
          <w:szCs w:val="22"/>
        </w:rPr>
      </w:pPr>
    </w:p>
    <w:p w14:paraId="254A368F" w14:textId="77777777" w:rsidR="00A33F3C" w:rsidRDefault="00A33F3C" w:rsidP="00E407E8">
      <w:pPr>
        <w:pStyle w:val="PlainText"/>
        <w:rPr>
          <w:rFonts w:ascii="Arial" w:hAnsi="Arial" w:cs="Arial"/>
          <w:sz w:val="22"/>
          <w:szCs w:val="22"/>
        </w:rPr>
      </w:pPr>
    </w:p>
    <w:p w14:paraId="2B1BC605" w14:textId="77777777" w:rsidR="00357425" w:rsidRDefault="00357425" w:rsidP="00E407E8">
      <w:pPr>
        <w:pStyle w:val="PlainText"/>
        <w:rPr>
          <w:rFonts w:ascii="Arial" w:hAnsi="Arial" w:cs="Arial"/>
          <w:sz w:val="22"/>
          <w:szCs w:val="22"/>
        </w:rPr>
      </w:pPr>
    </w:p>
    <w:p w14:paraId="63887EE3" w14:textId="77777777" w:rsidR="00357425" w:rsidRDefault="00357425" w:rsidP="00E407E8">
      <w:pPr>
        <w:pStyle w:val="PlainText"/>
        <w:rPr>
          <w:rFonts w:ascii="Arial" w:hAnsi="Arial" w:cs="Arial"/>
          <w:sz w:val="22"/>
          <w:szCs w:val="22"/>
        </w:rPr>
      </w:pPr>
    </w:p>
    <w:p w14:paraId="0678B8D7" w14:textId="77777777" w:rsidR="00357425" w:rsidRDefault="00357425" w:rsidP="00E407E8">
      <w:pPr>
        <w:pStyle w:val="PlainText"/>
        <w:rPr>
          <w:rFonts w:ascii="Arial" w:hAnsi="Arial" w:cs="Arial"/>
          <w:sz w:val="22"/>
          <w:szCs w:val="22"/>
        </w:rPr>
      </w:pPr>
    </w:p>
    <w:p w14:paraId="6057B292" w14:textId="77777777" w:rsidR="001B267D" w:rsidRDefault="001B267D" w:rsidP="00E407E8">
      <w:pPr>
        <w:pStyle w:val="PlainText"/>
        <w:rPr>
          <w:rFonts w:ascii="Arial" w:hAnsi="Arial" w:cs="Arial"/>
          <w:sz w:val="22"/>
          <w:szCs w:val="22"/>
        </w:rPr>
      </w:pPr>
    </w:p>
    <w:p w14:paraId="1F6A7A29" w14:textId="77777777" w:rsidR="001B267D" w:rsidRDefault="001B267D" w:rsidP="00E407E8">
      <w:pPr>
        <w:pStyle w:val="PlainText"/>
        <w:rPr>
          <w:rFonts w:ascii="Arial" w:hAnsi="Arial" w:cs="Arial"/>
          <w:sz w:val="22"/>
          <w:szCs w:val="22"/>
        </w:rPr>
      </w:pPr>
    </w:p>
    <w:p w14:paraId="52DD38AE" w14:textId="77777777" w:rsidR="001B267D" w:rsidRDefault="001B267D" w:rsidP="00E407E8">
      <w:pPr>
        <w:pStyle w:val="PlainText"/>
        <w:rPr>
          <w:rFonts w:ascii="Arial" w:hAnsi="Arial" w:cs="Arial"/>
          <w:sz w:val="22"/>
          <w:szCs w:val="22"/>
        </w:rPr>
      </w:pPr>
    </w:p>
    <w:p w14:paraId="0BD4577C" w14:textId="77777777" w:rsidR="001B267D" w:rsidRDefault="001B267D" w:rsidP="00E407E8">
      <w:pPr>
        <w:pStyle w:val="PlainText"/>
        <w:rPr>
          <w:rFonts w:ascii="Arial" w:hAnsi="Arial" w:cs="Arial"/>
          <w:sz w:val="22"/>
          <w:szCs w:val="22"/>
        </w:rPr>
      </w:pPr>
    </w:p>
    <w:p w14:paraId="6C2CF594" w14:textId="77777777" w:rsidR="001B267D" w:rsidRDefault="001B267D" w:rsidP="00E407E8">
      <w:pPr>
        <w:pStyle w:val="PlainText"/>
        <w:rPr>
          <w:rFonts w:ascii="Arial" w:hAnsi="Arial" w:cs="Arial"/>
          <w:sz w:val="22"/>
          <w:szCs w:val="22"/>
        </w:rPr>
      </w:pPr>
    </w:p>
    <w:p w14:paraId="13D61E30" w14:textId="77777777" w:rsidR="001B267D" w:rsidRDefault="001B267D" w:rsidP="00E407E8">
      <w:pPr>
        <w:pStyle w:val="PlainText"/>
        <w:rPr>
          <w:rFonts w:ascii="Arial" w:hAnsi="Arial" w:cs="Arial"/>
          <w:sz w:val="22"/>
          <w:szCs w:val="22"/>
        </w:rPr>
      </w:pPr>
    </w:p>
    <w:p w14:paraId="1850CED0" w14:textId="77777777" w:rsidR="001B267D" w:rsidRDefault="001B267D" w:rsidP="00E407E8">
      <w:pPr>
        <w:pStyle w:val="PlainText"/>
        <w:rPr>
          <w:rFonts w:ascii="Arial" w:hAnsi="Arial" w:cs="Arial"/>
          <w:sz w:val="22"/>
          <w:szCs w:val="22"/>
        </w:rPr>
      </w:pPr>
    </w:p>
    <w:p w14:paraId="6F1ABDF4" w14:textId="77777777" w:rsidR="001B267D" w:rsidRDefault="001B267D" w:rsidP="00E407E8">
      <w:pPr>
        <w:pStyle w:val="PlainText"/>
        <w:rPr>
          <w:rFonts w:ascii="Arial" w:hAnsi="Arial" w:cs="Arial"/>
          <w:sz w:val="22"/>
          <w:szCs w:val="22"/>
        </w:rPr>
      </w:pPr>
    </w:p>
    <w:p w14:paraId="6FF622EA" w14:textId="77777777" w:rsidR="007F6D78" w:rsidRDefault="007F6D78" w:rsidP="00E407E8">
      <w:pPr>
        <w:pStyle w:val="PlainText"/>
        <w:rPr>
          <w:rFonts w:ascii="Arial" w:hAnsi="Arial" w:cs="Arial"/>
          <w:sz w:val="22"/>
          <w:szCs w:val="22"/>
        </w:rPr>
      </w:pPr>
    </w:p>
    <w:p w14:paraId="50A64CCA" w14:textId="77777777" w:rsidR="007F6D78" w:rsidRDefault="007F6D78" w:rsidP="00E407E8">
      <w:pPr>
        <w:pStyle w:val="PlainText"/>
        <w:rPr>
          <w:rFonts w:ascii="Arial" w:hAnsi="Arial" w:cs="Arial"/>
          <w:sz w:val="22"/>
          <w:szCs w:val="22"/>
        </w:rPr>
      </w:pPr>
    </w:p>
    <w:p w14:paraId="16DCBCE0" w14:textId="5AA7F63B" w:rsidR="007F6D78" w:rsidRDefault="007F6D78" w:rsidP="00E407E8">
      <w:pPr>
        <w:pStyle w:val="PlainText"/>
        <w:rPr>
          <w:rFonts w:ascii="Arial" w:hAnsi="Arial" w:cs="Arial"/>
          <w:sz w:val="22"/>
          <w:szCs w:val="22"/>
        </w:rPr>
      </w:pPr>
    </w:p>
    <w:p w14:paraId="789E0D9F" w14:textId="5C8D737E" w:rsidR="00F2020D" w:rsidRDefault="00F2020D" w:rsidP="00E407E8">
      <w:pPr>
        <w:pStyle w:val="PlainText"/>
        <w:rPr>
          <w:rFonts w:ascii="Arial" w:hAnsi="Arial" w:cs="Arial"/>
          <w:sz w:val="22"/>
          <w:szCs w:val="22"/>
        </w:rPr>
      </w:pPr>
    </w:p>
    <w:p w14:paraId="39948F47" w14:textId="77777777" w:rsidR="00F2020D" w:rsidRDefault="00F2020D" w:rsidP="00E407E8">
      <w:pPr>
        <w:pStyle w:val="PlainText"/>
        <w:rPr>
          <w:rFonts w:ascii="Arial" w:hAnsi="Arial" w:cs="Arial"/>
          <w:sz w:val="22"/>
          <w:szCs w:val="22"/>
        </w:rPr>
      </w:pPr>
    </w:p>
    <w:p w14:paraId="2D468889" w14:textId="77777777" w:rsidR="007F6D78" w:rsidRDefault="007F6D78" w:rsidP="00E407E8">
      <w:pPr>
        <w:pStyle w:val="PlainText"/>
        <w:rPr>
          <w:rFonts w:ascii="Arial" w:hAnsi="Arial" w:cs="Arial"/>
          <w:sz w:val="22"/>
          <w:szCs w:val="22"/>
        </w:rPr>
      </w:pPr>
    </w:p>
    <w:p w14:paraId="05F0BB3A" w14:textId="77777777" w:rsidR="00C34D57" w:rsidRDefault="001B267D" w:rsidP="00E407E8">
      <w:pPr>
        <w:rPr>
          <w:rFonts w:ascii="Arial" w:hAnsi="Arial" w:cs="Arial"/>
          <w:b/>
          <w:sz w:val="32"/>
          <w:szCs w:val="32"/>
        </w:rPr>
      </w:pPr>
      <w:bookmarkStart w:id="0" w:name="MainContent_image"/>
      <w:bookmarkEnd w:id="0"/>
      <w:r>
        <w:rPr>
          <w:rFonts w:ascii="Arial" w:hAnsi="Arial" w:cs="Arial"/>
          <w:b/>
          <w:sz w:val="32"/>
          <w:szCs w:val="32"/>
        </w:rPr>
        <w:t>A</w:t>
      </w:r>
      <w:r w:rsidR="0009203D">
        <w:rPr>
          <w:rFonts w:ascii="Arial" w:hAnsi="Arial" w:cs="Arial"/>
          <w:b/>
          <w:sz w:val="32"/>
          <w:szCs w:val="32"/>
        </w:rPr>
        <w:t xml:space="preserve">DMINISTRATIVE </w:t>
      </w:r>
      <w:r w:rsidR="00C34D57">
        <w:rPr>
          <w:rFonts w:ascii="Arial" w:hAnsi="Arial" w:cs="Arial"/>
          <w:b/>
          <w:sz w:val="32"/>
          <w:szCs w:val="32"/>
        </w:rPr>
        <w:t>RESPONSIBILITIES</w:t>
      </w:r>
    </w:p>
    <w:p w14:paraId="7F4B502C" w14:textId="77777777" w:rsidR="00C34D57" w:rsidRPr="00C34D57" w:rsidRDefault="00C34D57" w:rsidP="00C34D57">
      <w:pPr>
        <w:pStyle w:val="PlainText"/>
        <w:rPr>
          <w:rFonts w:ascii="Arial" w:hAnsi="Arial" w:cs="Arial"/>
          <w:b/>
          <w:sz w:val="24"/>
          <w:szCs w:val="24"/>
          <w:u w:val="single"/>
        </w:rPr>
      </w:pPr>
      <w:r w:rsidRPr="00C34D57">
        <w:rPr>
          <w:rFonts w:ascii="Arial" w:hAnsi="Arial" w:cs="Arial"/>
          <w:b/>
          <w:sz w:val="24"/>
          <w:szCs w:val="24"/>
          <w:u w:val="single"/>
        </w:rPr>
        <w:t>RECHARGE COUNCIL RESPONSIBILITIES</w:t>
      </w:r>
    </w:p>
    <w:p w14:paraId="074F995B" w14:textId="77777777" w:rsidR="00C34D57" w:rsidRPr="00013D14" w:rsidRDefault="00C34D57" w:rsidP="00C34D57">
      <w:pPr>
        <w:pStyle w:val="PlainText"/>
        <w:rPr>
          <w:rFonts w:ascii="Arial" w:hAnsi="Arial" w:cs="Arial"/>
          <w:sz w:val="22"/>
          <w:szCs w:val="22"/>
        </w:rPr>
      </w:pPr>
    </w:p>
    <w:p w14:paraId="13BAE4CB" w14:textId="77777777" w:rsidR="00C34D57" w:rsidRDefault="00C34D57" w:rsidP="00C34D57">
      <w:pPr>
        <w:pStyle w:val="PlainText"/>
        <w:rPr>
          <w:rFonts w:ascii="Arial" w:hAnsi="Arial" w:cs="Arial"/>
          <w:sz w:val="22"/>
          <w:szCs w:val="22"/>
        </w:rPr>
      </w:pPr>
      <w:r>
        <w:rPr>
          <w:rFonts w:ascii="Arial" w:hAnsi="Arial" w:cs="Arial"/>
          <w:sz w:val="22"/>
          <w:szCs w:val="22"/>
        </w:rPr>
        <w:t>The Recharge Council is chaired by the Directo</w:t>
      </w:r>
      <w:r w:rsidR="007F6D78">
        <w:rPr>
          <w:rFonts w:ascii="Arial" w:hAnsi="Arial" w:cs="Arial"/>
          <w:sz w:val="22"/>
          <w:szCs w:val="22"/>
        </w:rPr>
        <w:t xml:space="preserve">r of Government Cost Compliance, which </w:t>
      </w:r>
      <w:r>
        <w:rPr>
          <w:rFonts w:ascii="Arial" w:hAnsi="Arial" w:cs="Arial"/>
          <w:sz w:val="22"/>
          <w:szCs w:val="22"/>
        </w:rPr>
        <w:t>includes individuals from Sponsored Research Accounting, Provost Office, Controllers Office, Budget Management, A&amp;F Finance, College of Medicine, Student Affairs and Faculty</w:t>
      </w:r>
      <w:r w:rsidR="007F6D78">
        <w:rPr>
          <w:rFonts w:ascii="Arial" w:hAnsi="Arial" w:cs="Arial"/>
          <w:sz w:val="22"/>
          <w:szCs w:val="22"/>
        </w:rPr>
        <w:t xml:space="preserve"> &amp; Staff Senate</w:t>
      </w:r>
      <w:r>
        <w:rPr>
          <w:rFonts w:ascii="Arial" w:hAnsi="Arial" w:cs="Arial"/>
          <w:sz w:val="22"/>
          <w:szCs w:val="22"/>
        </w:rPr>
        <w:t xml:space="preserve">. A current list of council members is available on </w:t>
      </w:r>
      <w:r w:rsidRPr="006030D6">
        <w:rPr>
          <w:rFonts w:ascii="Arial" w:hAnsi="Arial" w:cs="Arial"/>
          <w:sz w:val="22"/>
          <w:szCs w:val="22"/>
        </w:rPr>
        <w:t xml:space="preserve">the </w:t>
      </w:r>
      <w:hyperlink r:id="rId14" w:history="1">
        <w:r w:rsidRPr="006030D6">
          <w:rPr>
            <w:rStyle w:val="Hyperlink"/>
            <w:rFonts w:ascii="Arial" w:hAnsi="Arial" w:cs="Arial"/>
            <w:sz w:val="22"/>
            <w:szCs w:val="22"/>
          </w:rPr>
          <w:t>Government Cost Compliance website</w:t>
        </w:r>
      </w:hyperlink>
      <w:r w:rsidRPr="006030D6">
        <w:rPr>
          <w:rFonts w:ascii="Arial" w:hAnsi="Arial" w:cs="Arial"/>
          <w:sz w:val="22"/>
          <w:szCs w:val="22"/>
        </w:rPr>
        <w:t>.</w:t>
      </w:r>
      <w:r>
        <w:rPr>
          <w:rFonts w:ascii="Arial" w:hAnsi="Arial" w:cs="Arial"/>
          <w:sz w:val="22"/>
          <w:szCs w:val="22"/>
        </w:rPr>
        <w:t xml:space="preserve"> </w:t>
      </w:r>
    </w:p>
    <w:p w14:paraId="03E80416" w14:textId="77777777" w:rsidR="00C34D57" w:rsidRDefault="00C34D57" w:rsidP="00C34D57">
      <w:pPr>
        <w:pStyle w:val="PlainText"/>
        <w:rPr>
          <w:rFonts w:ascii="Arial" w:hAnsi="Arial" w:cs="Arial"/>
          <w:sz w:val="22"/>
          <w:szCs w:val="22"/>
        </w:rPr>
      </w:pPr>
    </w:p>
    <w:p w14:paraId="76F16647" w14:textId="77777777" w:rsidR="00C34D57" w:rsidRDefault="00C34D57" w:rsidP="00C34D57">
      <w:pPr>
        <w:pStyle w:val="PlainText"/>
        <w:rPr>
          <w:rFonts w:ascii="Arial" w:hAnsi="Arial" w:cs="Arial"/>
          <w:sz w:val="22"/>
          <w:szCs w:val="22"/>
        </w:rPr>
      </w:pPr>
      <w:r w:rsidRPr="00ED1DCA">
        <w:rPr>
          <w:rFonts w:ascii="Arial" w:hAnsi="Arial" w:cs="Arial"/>
          <w:sz w:val="22"/>
          <w:szCs w:val="22"/>
        </w:rPr>
        <w:t xml:space="preserve">Recharge Council Meetings are held </w:t>
      </w:r>
      <w:r>
        <w:rPr>
          <w:rFonts w:ascii="Arial" w:hAnsi="Arial" w:cs="Arial"/>
          <w:sz w:val="22"/>
          <w:szCs w:val="22"/>
        </w:rPr>
        <w:t xml:space="preserve">on the first Wednesday of the month, September thru June. Service </w:t>
      </w:r>
      <w:r w:rsidR="00357425">
        <w:rPr>
          <w:rFonts w:ascii="Arial" w:hAnsi="Arial" w:cs="Arial"/>
          <w:sz w:val="22"/>
          <w:szCs w:val="22"/>
        </w:rPr>
        <w:t>Centers present</w:t>
      </w:r>
      <w:r>
        <w:rPr>
          <w:rFonts w:ascii="Arial" w:hAnsi="Arial" w:cs="Arial"/>
          <w:sz w:val="22"/>
          <w:szCs w:val="22"/>
        </w:rPr>
        <w:t xml:space="preserve"> their questionnaire to the Recharge Council during a monthly council meeting. The Recharge Council will vote to approve or disapprove the rates based on the submitted questionnaire.</w:t>
      </w:r>
    </w:p>
    <w:p w14:paraId="25EDAB07" w14:textId="77777777" w:rsidR="00EB0D0F" w:rsidRDefault="00EB0D0F" w:rsidP="00C34D57">
      <w:pPr>
        <w:pStyle w:val="PlainText"/>
        <w:rPr>
          <w:rFonts w:ascii="Arial" w:hAnsi="Arial" w:cs="Arial"/>
          <w:sz w:val="22"/>
          <w:szCs w:val="22"/>
        </w:rPr>
      </w:pPr>
    </w:p>
    <w:p w14:paraId="29C7017D" w14:textId="77777777" w:rsidR="00EB0D0F" w:rsidRDefault="00571E7C" w:rsidP="00C34D57">
      <w:pPr>
        <w:pStyle w:val="PlainText"/>
        <w:rPr>
          <w:rFonts w:ascii="Arial" w:hAnsi="Arial" w:cs="Arial"/>
          <w:sz w:val="22"/>
          <w:szCs w:val="22"/>
        </w:rPr>
      </w:pPr>
      <w:r>
        <w:rPr>
          <w:rFonts w:ascii="Arial" w:hAnsi="Arial" w:cs="Arial"/>
          <w:sz w:val="22"/>
          <w:szCs w:val="22"/>
        </w:rPr>
        <w:t>Responsibilities</w:t>
      </w:r>
      <w:r w:rsidR="00EB0D0F">
        <w:rPr>
          <w:rFonts w:ascii="Arial" w:hAnsi="Arial" w:cs="Arial"/>
          <w:sz w:val="22"/>
          <w:szCs w:val="22"/>
        </w:rPr>
        <w:t xml:space="preserve"> Include:</w:t>
      </w:r>
    </w:p>
    <w:p w14:paraId="5290D8FF" w14:textId="77777777" w:rsidR="00EB0D0F" w:rsidRDefault="00EB0D0F" w:rsidP="00C34D57">
      <w:pPr>
        <w:pStyle w:val="PlainText"/>
        <w:rPr>
          <w:rFonts w:ascii="Arial" w:hAnsi="Arial" w:cs="Arial"/>
          <w:sz w:val="22"/>
          <w:szCs w:val="22"/>
        </w:rPr>
      </w:pPr>
    </w:p>
    <w:p w14:paraId="19E19E82" w14:textId="77777777" w:rsidR="00EB0D0F" w:rsidRPr="00571E7C" w:rsidRDefault="00EB0D0F" w:rsidP="00571E7C">
      <w:pPr>
        <w:pStyle w:val="ListParagraph"/>
        <w:numPr>
          <w:ilvl w:val="0"/>
          <w:numId w:val="13"/>
        </w:numPr>
        <w:rPr>
          <w:rFonts w:ascii="Arial" w:hAnsi="Arial" w:cs="Arial"/>
        </w:rPr>
      </w:pPr>
      <w:r>
        <w:rPr>
          <w:rFonts w:ascii="Arial" w:hAnsi="Arial" w:cs="Arial"/>
        </w:rPr>
        <w:t>Attending Monthly Recharge Council Meetings</w:t>
      </w:r>
    </w:p>
    <w:p w14:paraId="7F8A9BF7" w14:textId="205E9231" w:rsidR="00EB0D0F" w:rsidRPr="00571E7C" w:rsidRDefault="00EB0D0F" w:rsidP="00571E7C">
      <w:pPr>
        <w:pStyle w:val="ListParagraph"/>
        <w:numPr>
          <w:ilvl w:val="0"/>
          <w:numId w:val="13"/>
        </w:numPr>
        <w:rPr>
          <w:rFonts w:ascii="Arial" w:hAnsi="Arial" w:cs="Arial"/>
        </w:rPr>
      </w:pPr>
      <w:r>
        <w:rPr>
          <w:rFonts w:ascii="Arial" w:hAnsi="Arial" w:cs="Arial"/>
        </w:rPr>
        <w:t>Review Service Center Questionnaires to ensure that rates are being calculated to break</w:t>
      </w:r>
      <w:r w:rsidR="001D435C">
        <w:rPr>
          <w:rFonts w:ascii="Arial" w:hAnsi="Arial" w:cs="Arial"/>
        </w:rPr>
        <w:t>-</w:t>
      </w:r>
      <w:r>
        <w:rPr>
          <w:rFonts w:ascii="Arial" w:hAnsi="Arial" w:cs="Arial"/>
        </w:rPr>
        <w:t>even and to ensure that the Service Center is compliant with Uni</w:t>
      </w:r>
      <w:r w:rsidR="00571E7C">
        <w:rPr>
          <w:rFonts w:ascii="Arial" w:hAnsi="Arial" w:cs="Arial"/>
        </w:rPr>
        <w:t>versity and Federal Regulations</w:t>
      </w:r>
    </w:p>
    <w:p w14:paraId="038E6286" w14:textId="77777777" w:rsidR="00C34D57" w:rsidRDefault="00EB0D0F" w:rsidP="00571E7C">
      <w:pPr>
        <w:pStyle w:val="ListParagraph"/>
        <w:numPr>
          <w:ilvl w:val="0"/>
          <w:numId w:val="13"/>
        </w:numPr>
        <w:rPr>
          <w:rFonts w:ascii="Arial" w:hAnsi="Arial" w:cs="Arial"/>
        </w:rPr>
      </w:pPr>
      <w:r>
        <w:rPr>
          <w:rFonts w:ascii="Arial" w:hAnsi="Arial" w:cs="Arial"/>
        </w:rPr>
        <w:t xml:space="preserve">Vote to Approve or Disapprove of the rate </w:t>
      </w:r>
      <w:r w:rsidR="00571E7C">
        <w:rPr>
          <w:rFonts w:ascii="Arial" w:hAnsi="Arial" w:cs="Arial"/>
        </w:rPr>
        <w:t>presented by the Service Center</w:t>
      </w:r>
    </w:p>
    <w:p w14:paraId="086651AD" w14:textId="77777777" w:rsidR="005C536C" w:rsidRPr="00571E7C" w:rsidRDefault="005C536C" w:rsidP="005C536C">
      <w:pPr>
        <w:pStyle w:val="ListParagraph"/>
        <w:rPr>
          <w:rFonts w:ascii="Arial" w:hAnsi="Arial" w:cs="Arial"/>
        </w:rPr>
      </w:pPr>
    </w:p>
    <w:p w14:paraId="585806A7" w14:textId="77777777" w:rsidR="00C34D57" w:rsidRDefault="00C34D57" w:rsidP="00C34D57">
      <w:pPr>
        <w:pStyle w:val="PlainText"/>
        <w:rPr>
          <w:rFonts w:ascii="Arial" w:hAnsi="Arial" w:cs="Arial"/>
          <w:b/>
          <w:sz w:val="24"/>
          <w:szCs w:val="24"/>
          <w:u w:val="single"/>
        </w:rPr>
      </w:pPr>
      <w:r>
        <w:rPr>
          <w:rFonts w:ascii="Arial" w:hAnsi="Arial" w:cs="Arial"/>
          <w:b/>
          <w:sz w:val="24"/>
          <w:szCs w:val="24"/>
          <w:u w:val="single"/>
        </w:rPr>
        <w:t>SERVICE CENTER RESPONSIBILITES</w:t>
      </w:r>
    </w:p>
    <w:p w14:paraId="44042656" w14:textId="77777777" w:rsidR="00C34D57" w:rsidRPr="00C34D57" w:rsidRDefault="00C34D57" w:rsidP="00C34D57">
      <w:pPr>
        <w:pStyle w:val="PlainText"/>
        <w:rPr>
          <w:rFonts w:ascii="Arial" w:hAnsi="Arial" w:cs="Arial"/>
          <w:b/>
          <w:sz w:val="24"/>
          <w:szCs w:val="24"/>
          <w:u w:val="single"/>
        </w:rPr>
      </w:pPr>
    </w:p>
    <w:p w14:paraId="6E3F79C5" w14:textId="77777777" w:rsidR="00C34D57" w:rsidRDefault="00EB0D0F" w:rsidP="00E407E8">
      <w:pPr>
        <w:rPr>
          <w:rFonts w:ascii="Arial" w:hAnsi="Arial" w:cs="Arial"/>
        </w:rPr>
      </w:pPr>
      <w:r>
        <w:rPr>
          <w:rFonts w:ascii="Arial" w:hAnsi="Arial" w:cs="Arial"/>
        </w:rPr>
        <w:t xml:space="preserve">Service center management </w:t>
      </w:r>
      <w:r w:rsidR="006030D6">
        <w:rPr>
          <w:rFonts w:ascii="Arial" w:hAnsi="Arial" w:cs="Arial"/>
        </w:rPr>
        <w:t>is</w:t>
      </w:r>
      <w:r>
        <w:rPr>
          <w:rFonts w:ascii="Arial" w:hAnsi="Arial" w:cs="Arial"/>
        </w:rPr>
        <w:t xml:space="preserve"> responsible</w:t>
      </w:r>
      <w:r w:rsidR="006030D6">
        <w:rPr>
          <w:rFonts w:ascii="Arial" w:hAnsi="Arial" w:cs="Arial"/>
        </w:rPr>
        <w:t xml:space="preserve"> for the</w:t>
      </w:r>
      <w:r>
        <w:rPr>
          <w:rFonts w:ascii="Arial" w:hAnsi="Arial" w:cs="Arial"/>
        </w:rPr>
        <w:t xml:space="preserve"> oversight of ongoing oper</w:t>
      </w:r>
      <w:r w:rsidR="006030D6">
        <w:rPr>
          <w:rFonts w:ascii="Arial" w:hAnsi="Arial" w:cs="Arial"/>
        </w:rPr>
        <w:t>ations and ensuring University and Federal compliance</w:t>
      </w:r>
      <w:r>
        <w:rPr>
          <w:rFonts w:ascii="Arial" w:hAnsi="Arial" w:cs="Arial"/>
        </w:rPr>
        <w:t>.</w:t>
      </w:r>
    </w:p>
    <w:p w14:paraId="142F742E" w14:textId="77777777" w:rsidR="00EB0D0F" w:rsidRDefault="00571E7C" w:rsidP="00E407E8">
      <w:pPr>
        <w:rPr>
          <w:rFonts w:ascii="Arial" w:hAnsi="Arial" w:cs="Arial"/>
        </w:rPr>
      </w:pPr>
      <w:r>
        <w:rPr>
          <w:rFonts w:ascii="Arial" w:hAnsi="Arial" w:cs="Arial"/>
        </w:rPr>
        <w:t>Responsibilities</w:t>
      </w:r>
      <w:r w:rsidR="00EB0D0F">
        <w:rPr>
          <w:rFonts w:ascii="Arial" w:hAnsi="Arial" w:cs="Arial"/>
        </w:rPr>
        <w:t xml:space="preserve"> Include:</w:t>
      </w:r>
    </w:p>
    <w:p w14:paraId="7B88B4B1" w14:textId="77777777" w:rsidR="00EB0D0F" w:rsidRPr="00571E7C" w:rsidRDefault="00EB0D0F" w:rsidP="00571E7C">
      <w:pPr>
        <w:pStyle w:val="ListParagraph"/>
        <w:numPr>
          <w:ilvl w:val="0"/>
          <w:numId w:val="13"/>
        </w:numPr>
        <w:rPr>
          <w:rFonts w:ascii="Arial" w:hAnsi="Arial" w:cs="Arial"/>
        </w:rPr>
      </w:pPr>
      <w:r w:rsidRPr="00571E7C">
        <w:rPr>
          <w:rFonts w:ascii="Arial" w:hAnsi="Arial" w:cs="Arial"/>
        </w:rPr>
        <w:t xml:space="preserve">Creation and/or </w:t>
      </w:r>
      <w:r w:rsidR="00571E7C" w:rsidRPr="00571E7C">
        <w:rPr>
          <w:rFonts w:ascii="Arial" w:hAnsi="Arial" w:cs="Arial"/>
        </w:rPr>
        <w:t>dissolution</w:t>
      </w:r>
      <w:r w:rsidRPr="00571E7C">
        <w:rPr>
          <w:rFonts w:ascii="Arial" w:hAnsi="Arial" w:cs="Arial"/>
        </w:rPr>
        <w:t xml:space="preserve"> of Service Centers with the Controller’</w:t>
      </w:r>
      <w:r w:rsidR="00571E7C" w:rsidRPr="00571E7C">
        <w:rPr>
          <w:rFonts w:ascii="Arial" w:hAnsi="Arial" w:cs="Arial"/>
        </w:rPr>
        <w:t>s Office</w:t>
      </w:r>
    </w:p>
    <w:p w14:paraId="4688DC0B" w14:textId="77777777" w:rsidR="00EB0D0F" w:rsidRPr="00571E7C" w:rsidRDefault="00EB0D0F" w:rsidP="00571E7C">
      <w:pPr>
        <w:pStyle w:val="ListParagraph"/>
        <w:numPr>
          <w:ilvl w:val="0"/>
          <w:numId w:val="13"/>
        </w:numPr>
        <w:rPr>
          <w:rFonts w:ascii="Arial" w:hAnsi="Arial" w:cs="Arial"/>
        </w:rPr>
      </w:pPr>
      <w:r w:rsidRPr="00571E7C">
        <w:rPr>
          <w:rFonts w:ascii="Arial" w:hAnsi="Arial" w:cs="Arial"/>
        </w:rPr>
        <w:t>Review financial information periodically to ensure break-even sta</w:t>
      </w:r>
      <w:r w:rsidR="00571E7C" w:rsidRPr="00571E7C">
        <w:rPr>
          <w:rFonts w:ascii="Arial" w:hAnsi="Arial" w:cs="Arial"/>
        </w:rPr>
        <w:t>tus or necessity to change rates</w:t>
      </w:r>
    </w:p>
    <w:p w14:paraId="0B6E61A6" w14:textId="77777777" w:rsidR="00EB0D0F" w:rsidRPr="00571E7C" w:rsidRDefault="00EB0D0F" w:rsidP="00571E7C">
      <w:pPr>
        <w:pStyle w:val="ListParagraph"/>
        <w:numPr>
          <w:ilvl w:val="0"/>
          <w:numId w:val="13"/>
        </w:numPr>
        <w:rPr>
          <w:rFonts w:ascii="Arial" w:hAnsi="Arial" w:cs="Arial"/>
        </w:rPr>
      </w:pPr>
      <w:r w:rsidRPr="00571E7C">
        <w:rPr>
          <w:rFonts w:ascii="Arial" w:hAnsi="Arial" w:cs="Arial"/>
        </w:rPr>
        <w:t xml:space="preserve">Calculate rates, during </w:t>
      </w:r>
      <w:r w:rsidR="00571E7C" w:rsidRPr="00571E7C">
        <w:rPr>
          <w:rFonts w:ascii="Arial" w:hAnsi="Arial" w:cs="Arial"/>
        </w:rPr>
        <w:t>set reviews, based on estimated expense data and projected usage and complete the service center questionnaire that is submitted to the Recharge Council for approval</w:t>
      </w:r>
    </w:p>
    <w:p w14:paraId="24A4D401" w14:textId="77777777" w:rsidR="00571E7C" w:rsidRPr="00571E7C" w:rsidRDefault="00571E7C" w:rsidP="00571E7C">
      <w:pPr>
        <w:pStyle w:val="ListParagraph"/>
        <w:numPr>
          <w:ilvl w:val="0"/>
          <w:numId w:val="13"/>
        </w:numPr>
        <w:rPr>
          <w:rFonts w:ascii="Arial" w:hAnsi="Arial" w:cs="Arial"/>
        </w:rPr>
      </w:pPr>
      <w:r>
        <w:rPr>
          <w:rFonts w:ascii="Arial" w:hAnsi="Arial" w:cs="Arial"/>
        </w:rPr>
        <w:t>Present</w:t>
      </w:r>
      <w:r w:rsidR="006030D6">
        <w:rPr>
          <w:rFonts w:ascii="Arial" w:hAnsi="Arial" w:cs="Arial"/>
        </w:rPr>
        <w:t xml:space="preserve"> the</w:t>
      </w:r>
      <w:r>
        <w:rPr>
          <w:rFonts w:ascii="Arial" w:hAnsi="Arial" w:cs="Arial"/>
        </w:rPr>
        <w:t xml:space="preserve"> </w:t>
      </w:r>
      <w:r w:rsidRPr="00571E7C">
        <w:rPr>
          <w:rFonts w:ascii="Arial" w:hAnsi="Arial" w:cs="Arial"/>
        </w:rPr>
        <w:t>service center questionnaire at a scheduled Recharge Council meeting</w:t>
      </w:r>
    </w:p>
    <w:p w14:paraId="6265F4C4" w14:textId="77777777" w:rsidR="00571E7C" w:rsidRPr="00571E7C" w:rsidRDefault="00571E7C" w:rsidP="00571E7C">
      <w:pPr>
        <w:pStyle w:val="ListParagraph"/>
        <w:numPr>
          <w:ilvl w:val="0"/>
          <w:numId w:val="13"/>
        </w:numPr>
        <w:rPr>
          <w:rFonts w:ascii="Arial" w:hAnsi="Arial" w:cs="Arial"/>
        </w:rPr>
      </w:pPr>
      <w:r w:rsidRPr="00571E7C">
        <w:rPr>
          <w:rFonts w:ascii="Arial" w:hAnsi="Arial" w:cs="Arial"/>
        </w:rPr>
        <w:t xml:space="preserve">Ensure that rates comply with the </w:t>
      </w:r>
      <w:r w:rsidR="006030D6">
        <w:rPr>
          <w:rFonts w:ascii="Arial" w:hAnsi="Arial" w:cs="Arial"/>
        </w:rPr>
        <w:t>criteria outlined</w:t>
      </w:r>
      <w:r w:rsidRPr="00571E7C">
        <w:rPr>
          <w:rFonts w:ascii="Arial" w:hAnsi="Arial" w:cs="Arial"/>
        </w:rPr>
        <w:t xml:space="preserve"> in this policy</w:t>
      </w:r>
    </w:p>
    <w:p w14:paraId="7C6BEB33" w14:textId="220F0712" w:rsidR="00571E7C" w:rsidRDefault="00571E7C" w:rsidP="00571E7C">
      <w:pPr>
        <w:pStyle w:val="ListParagraph"/>
        <w:numPr>
          <w:ilvl w:val="0"/>
          <w:numId w:val="13"/>
        </w:numPr>
        <w:rPr>
          <w:rFonts w:ascii="Arial" w:hAnsi="Arial" w:cs="Arial"/>
        </w:rPr>
      </w:pPr>
      <w:r w:rsidRPr="00571E7C">
        <w:rPr>
          <w:rFonts w:ascii="Arial" w:hAnsi="Arial" w:cs="Arial"/>
        </w:rPr>
        <w:t>Account for subsidies provided</w:t>
      </w:r>
      <w:r w:rsidR="006030D6">
        <w:rPr>
          <w:rFonts w:ascii="Arial" w:hAnsi="Arial" w:cs="Arial"/>
        </w:rPr>
        <w:t xml:space="preserve"> to the service center</w:t>
      </w:r>
      <w:r w:rsidR="001D435C">
        <w:rPr>
          <w:rFonts w:ascii="Arial" w:hAnsi="Arial" w:cs="Arial"/>
        </w:rPr>
        <w:t>,</w:t>
      </w:r>
      <w:r w:rsidRPr="00571E7C">
        <w:rPr>
          <w:rFonts w:ascii="Arial" w:hAnsi="Arial" w:cs="Arial"/>
        </w:rPr>
        <w:t xml:space="preserve"> if applicable</w:t>
      </w:r>
    </w:p>
    <w:p w14:paraId="532B0839" w14:textId="77777777" w:rsidR="00571E7C" w:rsidRDefault="00571E7C" w:rsidP="00571E7C">
      <w:pPr>
        <w:pStyle w:val="ListParagraph"/>
        <w:numPr>
          <w:ilvl w:val="0"/>
          <w:numId w:val="13"/>
        </w:numPr>
        <w:rPr>
          <w:rFonts w:ascii="Arial" w:hAnsi="Arial" w:cs="Arial"/>
        </w:rPr>
      </w:pPr>
      <w:r>
        <w:rPr>
          <w:rFonts w:ascii="Arial" w:hAnsi="Arial" w:cs="Arial"/>
        </w:rPr>
        <w:t>Assist with internal and external audits</w:t>
      </w:r>
    </w:p>
    <w:p w14:paraId="34E766EC" w14:textId="77777777" w:rsidR="005C536C" w:rsidRDefault="005C536C" w:rsidP="005C536C">
      <w:pPr>
        <w:pStyle w:val="ListParagraph"/>
        <w:rPr>
          <w:rFonts w:ascii="Arial" w:hAnsi="Arial" w:cs="Arial"/>
        </w:rPr>
      </w:pPr>
    </w:p>
    <w:p w14:paraId="2C643B03" w14:textId="77777777" w:rsidR="005C536C" w:rsidRDefault="005C536C" w:rsidP="005C536C">
      <w:pPr>
        <w:pStyle w:val="ListParagraph"/>
        <w:rPr>
          <w:rFonts w:ascii="Arial" w:hAnsi="Arial" w:cs="Arial"/>
        </w:rPr>
      </w:pPr>
    </w:p>
    <w:p w14:paraId="1C389C50" w14:textId="77777777" w:rsidR="005C536C" w:rsidRDefault="005C536C" w:rsidP="005C536C">
      <w:pPr>
        <w:pStyle w:val="ListParagraph"/>
        <w:rPr>
          <w:rFonts w:ascii="Arial" w:hAnsi="Arial" w:cs="Arial"/>
        </w:rPr>
      </w:pPr>
    </w:p>
    <w:p w14:paraId="42D161B5" w14:textId="77777777" w:rsidR="005C536C" w:rsidRDefault="005C536C" w:rsidP="005C536C">
      <w:pPr>
        <w:pStyle w:val="ListParagraph"/>
        <w:rPr>
          <w:rFonts w:ascii="Arial" w:hAnsi="Arial" w:cs="Arial"/>
        </w:rPr>
      </w:pPr>
    </w:p>
    <w:p w14:paraId="759E42E1" w14:textId="77777777" w:rsidR="00357425" w:rsidRDefault="00357425" w:rsidP="005C536C">
      <w:pPr>
        <w:pStyle w:val="ListParagraph"/>
        <w:rPr>
          <w:rFonts w:ascii="Arial" w:hAnsi="Arial" w:cs="Arial"/>
        </w:rPr>
      </w:pPr>
    </w:p>
    <w:p w14:paraId="5378A1AE" w14:textId="77777777" w:rsidR="00357425" w:rsidRDefault="00357425" w:rsidP="005C536C">
      <w:pPr>
        <w:pStyle w:val="ListParagraph"/>
        <w:rPr>
          <w:rFonts w:ascii="Arial" w:hAnsi="Arial" w:cs="Arial"/>
        </w:rPr>
      </w:pPr>
    </w:p>
    <w:p w14:paraId="55DF786F" w14:textId="77777777" w:rsidR="005C536C" w:rsidRDefault="005C536C" w:rsidP="005C536C">
      <w:pPr>
        <w:pStyle w:val="ListParagraph"/>
        <w:rPr>
          <w:rFonts w:ascii="Arial" w:hAnsi="Arial" w:cs="Arial"/>
        </w:rPr>
      </w:pPr>
    </w:p>
    <w:p w14:paraId="791C2D90" w14:textId="77777777" w:rsidR="00A33F3C" w:rsidRDefault="00A33F3C" w:rsidP="005C536C">
      <w:pPr>
        <w:pStyle w:val="ListParagraph"/>
        <w:rPr>
          <w:rFonts w:ascii="Arial" w:hAnsi="Arial" w:cs="Arial"/>
        </w:rPr>
      </w:pPr>
    </w:p>
    <w:p w14:paraId="490CD517" w14:textId="77777777" w:rsidR="00A33F3C" w:rsidRDefault="00A33F3C" w:rsidP="005C536C">
      <w:pPr>
        <w:pStyle w:val="ListParagraph"/>
        <w:rPr>
          <w:rFonts w:ascii="Arial" w:hAnsi="Arial" w:cs="Arial"/>
        </w:rPr>
      </w:pPr>
    </w:p>
    <w:p w14:paraId="0C579CDD" w14:textId="77777777" w:rsidR="005C536C" w:rsidRDefault="005C536C" w:rsidP="005C536C">
      <w:pPr>
        <w:pStyle w:val="ListParagraph"/>
        <w:rPr>
          <w:rFonts w:ascii="Arial" w:hAnsi="Arial" w:cs="Arial"/>
        </w:rPr>
      </w:pPr>
    </w:p>
    <w:p w14:paraId="18298508" w14:textId="77777777" w:rsidR="00C34D57" w:rsidRPr="00C34D57" w:rsidRDefault="00C34D57" w:rsidP="00C34D57">
      <w:pPr>
        <w:pStyle w:val="PlainText"/>
        <w:rPr>
          <w:rFonts w:ascii="Arial" w:hAnsi="Arial" w:cs="Arial"/>
          <w:b/>
          <w:sz w:val="24"/>
          <w:szCs w:val="24"/>
          <w:u w:val="single"/>
        </w:rPr>
      </w:pPr>
      <w:r>
        <w:rPr>
          <w:rFonts w:ascii="Arial" w:hAnsi="Arial" w:cs="Arial"/>
          <w:b/>
          <w:sz w:val="24"/>
          <w:szCs w:val="24"/>
          <w:u w:val="single"/>
        </w:rPr>
        <w:t>GOVERNMENT COST COMPLIANCE</w:t>
      </w:r>
      <w:r w:rsidR="006030D6">
        <w:rPr>
          <w:rFonts w:ascii="Arial" w:hAnsi="Arial" w:cs="Arial"/>
          <w:b/>
          <w:sz w:val="24"/>
          <w:szCs w:val="24"/>
          <w:u w:val="single"/>
        </w:rPr>
        <w:t xml:space="preserve"> </w:t>
      </w:r>
      <w:r w:rsidR="005C536C">
        <w:rPr>
          <w:rFonts w:ascii="Arial" w:hAnsi="Arial" w:cs="Arial"/>
          <w:b/>
          <w:sz w:val="24"/>
          <w:szCs w:val="24"/>
          <w:u w:val="single"/>
        </w:rPr>
        <w:t>RESPONSIBILITIES</w:t>
      </w:r>
    </w:p>
    <w:p w14:paraId="0BE146F8" w14:textId="77777777" w:rsidR="00571E7C" w:rsidRDefault="00571E7C" w:rsidP="00EB0D0F">
      <w:pPr>
        <w:pStyle w:val="ListParagraph"/>
        <w:ind w:left="0"/>
        <w:rPr>
          <w:rFonts w:ascii="Arial" w:hAnsi="Arial" w:cs="Arial"/>
        </w:rPr>
      </w:pPr>
    </w:p>
    <w:p w14:paraId="5C6C615F" w14:textId="77777777" w:rsidR="00571E7C" w:rsidRDefault="00790391" w:rsidP="00EB0D0F">
      <w:pPr>
        <w:pStyle w:val="ListParagraph"/>
        <w:ind w:left="0"/>
        <w:rPr>
          <w:rFonts w:ascii="Arial" w:hAnsi="Arial" w:cs="Arial"/>
        </w:rPr>
      </w:pPr>
      <w:r>
        <w:rPr>
          <w:rFonts w:ascii="Arial" w:hAnsi="Arial" w:cs="Arial"/>
        </w:rPr>
        <w:t>Government Cost Compliance is responsible to ensure compliance with applicable federal cost principles and established university policies.</w:t>
      </w:r>
    </w:p>
    <w:p w14:paraId="44E06C14" w14:textId="77777777" w:rsidR="00790391" w:rsidRDefault="00790391" w:rsidP="00EB0D0F">
      <w:pPr>
        <w:pStyle w:val="ListParagraph"/>
        <w:ind w:left="0"/>
        <w:rPr>
          <w:rFonts w:ascii="Arial" w:hAnsi="Arial" w:cs="Arial"/>
        </w:rPr>
      </w:pPr>
    </w:p>
    <w:p w14:paraId="709F0AB0" w14:textId="77777777" w:rsidR="00790391" w:rsidRDefault="007D7FD3" w:rsidP="00EB0D0F">
      <w:pPr>
        <w:pStyle w:val="ListParagraph"/>
        <w:ind w:left="0"/>
        <w:rPr>
          <w:rFonts w:ascii="Arial" w:hAnsi="Arial" w:cs="Arial"/>
        </w:rPr>
      </w:pPr>
      <w:r>
        <w:rPr>
          <w:rFonts w:ascii="Arial" w:hAnsi="Arial" w:cs="Arial"/>
        </w:rPr>
        <w:t>Responsibilities</w:t>
      </w:r>
      <w:r w:rsidR="00790391">
        <w:rPr>
          <w:rFonts w:ascii="Arial" w:hAnsi="Arial" w:cs="Arial"/>
        </w:rPr>
        <w:t xml:space="preserve"> Include:</w:t>
      </w:r>
    </w:p>
    <w:p w14:paraId="2069F076" w14:textId="77777777" w:rsidR="00790391" w:rsidRDefault="00790391" w:rsidP="00EB0D0F">
      <w:pPr>
        <w:pStyle w:val="ListParagraph"/>
        <w:ind w:left="0"/>
        <w:rPr>
          <w:rFonts w:ascii="Arial" w:hAnsi="Arial" w:cs="Arial"/>
        </w:rPr>
      </w:pPr>
    </w:p>
    <w:p w14:paraId="1B3A8F59" w14:textId="77777777" w:rsidR="00D97A57" w:rsidRDefault="00D97A57" w:rsidP="00790391">
      <w:pPr>
        <w:pStyle w:val="ListParagraph"/>
        <w:numPr>
          <w:ilvl w:val="0"/>
          <w:numId w:val="14"/>
        </w:numPr>
        <w:rPr>
          <w:rFonts w:ascii="Arial" w:hAnsi="Arial" w:cs="Arial"/>
        </w:rPr>
      </w:pPr>
      <w:r>
        <w:rPr>
          <w:rFonts w:ascii="Arial" w:hAnsi="Arial" w:cs="Arial"/>
        </w:rPr>
        <w:t xml:space="preserve">Maintain and Publish the University of Cincinnati Service Center Policy and Procedures </w:t>
      </w:r>
      <w:r w:rsidR="005B2065">
        <w:rPr>
          <w:rFonts w:ascii="Arial" w:hAnsi="Arial" w:cs="Arial"/>
        </w:rPr>
        <w:t>Manual</w:t>
      </w:r>
    </w:p>
    <w:p w14:paraId="309A10D1" w14:textId="77777777" w:rsidR="00790391" w:rsidRDefault="00D97A57" w:rsidP="00790391">
      <w:pPr>
        <w:pStyle w:val="ListParagraph"/>
        <w:numPr>
          <w:ilvl w:val="0"/>
          <w:numId w:val="14"/>
        </w:numPr>
        <w:rPr>
          <w:rFonts w:ascii="Arial" w:hAnsi="Arial" w:cs="Arial"/>
        </w:rPr>
      </w:pPr>
      <w:r>
        <w:rPr>
          <w:rFonts w:ascii="Arial" w:hAnsi="Arial" w:cs="Arial"/>
        </w:rPr>
        <w:t xml:space="preserve">The </w:t>
      </w:r>
      <w:r w:rsidR="00790391">
        <w:rPr>
          <w:rFonts w:ascii="Arial" w:hAnsi="Arial" w:cs="Arial"/>
        </w:rPr>
        <w:t xml:space="preserve">Government Cost Compliance Director is to </w:t>
      </w:r>
      <w:r>
        <w:rPr>
          <w:rFonts w:ascii="Arial" w:hAnsi="Arial" w:cs="Arial"/>
        </w:rPr>
        <w:t>c</w:t>
      </w:r>
      <w:r w:rsidR="00790391">
        <w:rPr>
          <w:rFonts w:ascii="Arial" w:hAnsi="Arial" w:cs="Arial"/>
        </w:rPr>
        <w:t>hair the Recharge Council</w:t>
      </w:r>
    </w:p>
    <w:p w14:paraId="2183E058" w14:textId="77777777" w:rsidR="00D97A57" w:rsidRDefault="00D97A57" w:rsidP="00D97A57">
      <w:pPr>
        <w:pStyle w:val="ListParagraph"/>
        <w:numPr>
          <w:ilvl w:val="0"/>
          <w:numId w:val="14"/>
        </w:numPr>
        <w:rPr>
          <w:rFonts w:ascii="Arial" w:hAnsi="Arial" w:cs="Arial"/>
        </w:rPr>
      </w:pPr>
      <w:r>
        <w:rPr>
          <w:rFonts w:ascii="Arial" w:hAnsi="Arial" w:cs="Arial"/>
        </w:rPr>
        <w:t>Coordinate Recharge Council Meetings</w:t>
      </w:r>
    </w:p>
    <w:p w14:paraId="5B424F35" w14:textId="77777777" w:rsidR="00D97A57" w:rsidRDefault="00D97A57" w:rsidP="00790391">
      <w:pPr>
        <w:pStyle w:val="ListParagraph"/>
        <w:numPr>
          <w:ilvl w:val="0"/>
          <w:numId w:val="14"/>
        </w:numPr>
        <w:rPr>
          <w:rFonts w:ascii="Arial" w:hAnsi="Arial" w:cs="Arial"/>
        </w:rPr>
      </w:pPr>
      <w:r>
        <w:rPr>
          <w:rFonts w:ascii="Arial" w:hAnsi="Arial" w:cs="Arial"/>
        </w:rPr>
        <w:t>Review all submitted service center questionnaires &amp; rate calculations</w:t>
      </w:r>
    </w:p>
    <w:p w14:paraId="19E589C9" w14:textId="77777777" w:rsidR="000E08D4" w:rsidRDefault="000E08D4" w:rsidP="00790391">
      <w:pPr>
        <w:pStyle w:val="ListParagraph"/>
        <w:numPr>
          <w:ilvl w:val="0"/>
          <w:numId w:val="14"/>
        </w:numPr>
        <w:rPr>
          <w:rFonts w:ascii="Arial" w:hAnsi="Arial" w:cs="Arial"/>
        </w:rPr>
      </w:pPr>
      <w:r>
        <w:rPr>
          <w:rFonts w:ascii="Arial" w:hAnsi="Arial" w:cs="Arial"/>
        </w:rPr>
        <w:t>Retain documentation of rate calculations on all approved service center rates</w:t>
      </w:r>
    </w:p>
    <w:p w14:paraId="15E39C38" w14:textId="77777777" w:rsidR="00790391" w:rsidRDefault="00D97A57" w:rsidP="00790391">
      <w:pPr>
        <w:pStyle w:val="ListParagraph"/>
        <w:numPr>
          <w:ilvl w:val="0"/>
          <w:numId w:val="14"/>
        </w:numPr>
        <w:rPr>
          <w:rFonts w:ascii="Arial" w:hAnsi="Arial" w:cs="Arial"/>
        </w:rPr>
      </w:pPr>
      <w:r>
        <w:rPr>
          <w:rFonts w:ascii="Arial" w:hAnsi="Arial" w:cs="Arial"/>
        </w:rPr>
        <w:t>Assist Service Center m</w:t>
      </w:r>
      <w:r w:rsidR="00790391">
        <w:rPr>
          <w:rFonts w:ascii="Arial" w:hAnsi="Arial" w:cs="Arial"/>
        </w:rPr>
        <w:t>anagement with the rate review and approval process</w:t>
      </w:r>
    </w:p>
    <w:p w14:paraId="57ECCCA9" w14:textId="77777777" w:rsidR="00790391" w:rsidRDefault="00790391" w:rsidP="00790391">
      <w:pPr>
        <w:pStyle w:val="ListParagraph"/>
        <w:numPr>
          <w:ilvl w:val="0"/>
          <w:numId w:val="14"/>
        </w:numPr>
        <w:rPr>
          <w:rFonts w:ascii="Arial" w:hAnsi="Arial" w:cs="Arial"/>
        </w:rPr>
      </w:pPr>
      <w:r>
        <w:rPr>
          <w:rFonts w:ascii="Arial" w:hAnsi="Arial" w:cs="Arial"/>
        </w:rPr>
        <w:t>R</w:t>
      </w:r>
      <w:r w:rsidR="00EB0D0F">
        <w:rPr>
          <w:rFonts w:ascii="Arial" w:hAnsi="Arial" w:cs="Arial"/>
        </w:rPr>
        <w:t>egularly review Service Center fund balances</w:t>
      </w:r>
    </w:p>
    <w:p w14:paraId="327451B4" w14:textId="77777777" w:rsidR="00EB0D0F" w:rsidRDefault="00790391" w:rsidP="00790391">
      <w:pPr>
        <w:pStyle w:val="ListParagraph"/>
        <w:numPr>
          <w:ilvl w:val="0"/>
          <w:numId w:val="14"/>
        </w:numPr>
        <w:rPr>
          <w:rFonts w:ascii="Arial" w:hAnsi="Arial" w:cs="Arial"/>
        </w:rPr>
      </w:pPr>
      <w:r>
        <w:rPr>
          <w:rFonts w:ascii="Arial" w:hAnsi="Arial" w:cs="Arial"/>
        </w:rPr>
        <w:t>Annual review of</w:t>
      </w:r>
      <w:r w:rsidR="00EB0D0F">
        <w:rPr>
          <w:rFonts w:ascii="Arial" w:hAnsi="Arial" w:cs="Arial"/>
        </w:rPr>
        <w:t xml:space="preserve"> service center invoices, and actual document journal details for consistent applic</w:t>
      </w:r>
      <w:r w:rsidR="000E08D4">
        <w:rPr>
          <w:rFonts w:ascii="Arial" w:hAnsi="Arial" w:cs="Arial"/>
        </w:rPr>
        <w:t>ation of Service Center policies</w:t>
      </w:r>
    </w:p>
    <w:p w14:paraId="336F25DB" w14:textId="19C30C13" w:rsidR="00D97A57" w:rsidRDefault="00D97A57" w:rsidP="00790391">
      <w:pPr>
        <w:pStyle w:val="ListParagraph"/>
        <w:numPr>
          <w:ilvl w:val="0"/>
          <w:numId w:val="14"/>
        </w:numPr>
        <w:rPr>
          <w:rFonts w:ascii="Arial" w:hAnsi="Arial" w:cs="Arial"/>
        </w:rPr>
      </w:pPr>
      <w:r>
        <w:rPr>
          <w:rFonts w:ascii="Arial" w:hAnsi="Arial" w:cs="Arial"/>
        </w:rPr>
        <w:t xml:space="preserve">Review all internal </w:t>
      </w:r>
      <w:r w:rsidR="000E08D4">
        <w:rPr>
          <w:rFonts w:ascii="Arial" w:hAnsi="Arial" w:cs="Arial"/>
        </w:rPr>
        <w:t>transfers (A123s)</w:t>
      </w:r>
      <w:r w:rsidR="007367A3">
        <w:rPr>
          <w:rFonts w:ascii="Arial" w:hAnsi="Arial" w:cs="Arial"/>
        </w:rPr>
        <w:t xml:space="preserve"> to and from Service Center funds.</w:t>
      </w:r>
    </w:p>
    <w:p w14:paraId="4A0C16A1" w14:textId="77777777" w:rsidR="00D97A57" w:rsidRDefault="00D97A57" w:rsidP="00790391">
      <w:pPr>
        <w:pStyle w:val="ListParagraph"/>
        <w:numPr>
          <w:ilvl w:val="0"/>
          <w:numId w:val="14"/>
        </w:numPr>
        <w:rPr>
          <w:rFonts w:ascii="Arial" w:hAnsi="Arial" w:cs="Arial"/>
        </w:rPr>
      </w:pPr>
      <w:r>
        <w:rPr>
          <w:rFonts w:ascii="Arial" w:hAnsi="Arial" w:cs="Arial"/>
        </w:rPr>
        <w:t>Prepare rate approval letters</w:t>
      </w:r>
    </w:p>
    <w:p w14:paraId="4CCCF0AF" w14:textId="77777777" w:rsidR="00696969" w:rsidRDefault="00696969" w:rsidP="00790391">
      <w:pPr>
        <w:pStyle w:val="ListParagraph"/>
        <w:numPr>
          <w:ilvl w:val="0"/>
          <w:numId w:val="14"/>
        </w:numPr>
        <w:rPr>
          <w:rFonts w:ascii="Arial" w:hAnsi="Arial" w:cs="Arial"/>
        </w:rPr>
      </w:pPr>
      <w:r>
        <w:rPr>
          <w:rFonts w:ascii="Arial" w:hAnsi="Arial" w:cs="Arial"/>
        </w:rPr>
        <w:t>Publish approved rates on the Government Cost Compliance website</w:t>
      </w:r>
    </w:p>
    <w:p w14:paraId="6D3A4D60" w14:textId="77777777" w:rsidR="00A33F3C" w:rsidRDefault="00A33F3C" w:rsidP="00C34D57">
      <w:pPr>
        <w:pStyle w:val="PlainText"/>
        <w:rPr>
          <w:rFonts w:ascii="Arial" w:hAnsi="Arial" w:cs="Arial"/>
          <w:b/>
          <w:sz w:val="24"/>
          <w:szCs w:val="24"/>
          <w:u w:val="single"/>
        </w:rPr>
      </w:pPr>
    </w:p>
    <w:p w14:paraId="70B759FA" w14:textId="77777777" w:rsidR="00D97A57" w:rsidRDefault="00D97A57" w:rsidP="00D97A57">
      <w:pPr>
        <w:pStyle w:val="PlainText"/>
        <w:rPr>
          <w:rFonts w:ascii="Arial" w:hAnsi="Arial" w:cs="Arial"/>
          <w:b/>
          <w:sz w:val="24"/>
          <w:szCs w:val="24"/>
          <w:u w:val="single"/>
        </w:rPr>
      </w:pPr>
    </w:p>
    <w:p w14:paraId="4503C0A2" w14:textId="77777777" w:rsidR="00C2507B" w:rsidRDefault="00C2507B" w:rsidP="00D97A57">
      <w:pPr>
        <w:pStyle w:val="PlainText"/>
        <w:rPr>
          <w:rFonts w:ascii="Arial" w:hAnsi="Arial" w:cs="Arial"/>
          <w:b/>
          <w:sz w:val="24"/>
          <w:szCs w:val="24"/>
          <w:u w:val="single"/>
        </w:rPr>
      </w:pPr>
    </w:p>
    <w:p w14:paraId="3C01E796" w14:textId="77777777" w:rsidR="00C2507B" w:rsidRDefault="00C2507B" w:rsidP="00D97A57">
      <w:pPr>
        <w:pStyle w:val="PlainText"/>
        <w:rPr>
          <w:rFonts w:ascii="Arial" w:hAnsi="Arial" w:cs="Arial"/>
          <w:b/>
          <w:sz w:val="24"/>
          <w:szCs w:val="24"/>
          <w:u w:val="single"/>
        </w:rPr>
      </w:pPr>
    </w:p>
    <w:p w14:paraId="301E2C13" w14:textId="77777777" w:rsidR="00C2507B" w:rsidRDefault="00C2507B" w:rsidP="00D97A57">
      <w:pPr>
        <w:pStyle w:val="PlainText"/>
        <w:rPr>
          <w:rFonts w:ascii="Arial" w:hAnsi="Arial" w:cs="Arial"/>
          <w:b/>
          <w:sz w:val="24"/>
          <w:szCs w:val="24"/>
          <w:u w:val="single"/>
        </w:rPr>
      </w:pPr>
    </w:p>
    <w:p w14:paraId="108DB2CA" w14:textId="77777777" w:rsidR="00C2507B" w:rsidRDefault="00C2507B" w:rsidP="00D97A57">
      <w:pPr>
        <w:pStyle w:val="PlainText"/>
        <w:rPr>
          <w:rFonts w:ascii="Arial" w:hAnsi="Arial" w:cs="Arial"/>
          <w:b/>
          <w:sz w:val="24"/>
          <w:szCs w:val="24"/>
          <w:u w:val="single"/>
        </w:rPr>
      </w:pPr>
    </w:p>
    <w:p w14:paraId="2710B9B7" w14:textId="77777777" w:rsidR="00C2507B" w:rsidRDefault="00C2507B" w:rsidP="00D97A57">
      <w:pPr>
        <w:pStyle w:val="PlainText"/>
        <w:rPr>
          <w:rFonts w:ascii="Arial" w:hAnsi="Arial" w:cs="Arial"/>
          <w:b/>
          <w:sz w:val="24"/>
          <w:szCs w:val="24"/>
          <w:u w:val="single"/>
        </w:rPr>
      </w:pPr>
    </w:p>
    <w:p w14:paraId="47B15C26" w14:textId="77777777" w:rsidR="00C2507B" w:rsidRDefault="00C2507B" w:rsidP="00D97A57">
      <w:pPr>
        <w:pStyle w:val="PlainText"/>
        <w:rPr>
          <w:rFonts w:ascii="Arial" w:hAnsi="Arial" w:cs="Arial"/>
          <w:b/>
          <w:sz w:val="24"/>
          <w:szCs w:val="24"/>
          <w:u w:val="single"/>
        </w:rPr>
      </w:pPr>
    </w:p>
    <w:p w14:paraId="7A290042" w14:textId="77777777" w:rsidR="00D97A57" w:rsidRDefault="00D97A57" w:rsidP="00E407E8">
      <w:pPr>
        <w:rPr>
          <w:rFonts w:ascii="Arial" w:hAnsi="Arial" w:cs="Arial"/>
          <w:b/>
          <w:sz w:val="32"/>
          <w:szCs w:val="32"/>
        </w:rPr>
      </w:pPr>
    </w:p>
    <w:p w14:paraId="11FBD7BE" w14:textId="77777777" w:rsidR="005C536C" w:rsidRDefault="005C536C" w:rsidP="00E407E8">
      <w:pPr>
        <w:rPr>
          <w:rFonts w:ascii="Arial" w:hAnsi="Arial" w:cs="Arial"/>
          <w:b/>
          <w:sz w:val="32"/>
          <w:szCs w:val="32"/>
        </w:rPr>
      </w:pPr>
    </w:p>
    <w:p w14:paraId="05905FEE" w14:textId="77777777" w:rsidR="005C536C" w:rsidRDefault="005C536C" w:rsidP="00E407E8">
      <w:pPr>
        <w:rPr>
          <w:rFonts w:ascii="Arial" w:hAnsi="Arial" w:cs="Arial"/>
          <w:b/>
          <w:sz w:val="32"/>
          <w:szCs w:val="32"/>
        </w:rPr>
      </w:pPr>
    </w:p>
    <w:p w14:paraId="0EBCE104" w14:textId="77777777" w:rsidR="001B267D" w:rsidRDefault="001B267D" w:rsidP="00E407E8">
      <w:pPr>
        <w:rPr>
          <w:rFonts w:ascii="Arial" w:hAnsi="Arial" w:cs="Arial"/>
          <w:b/>
          <w:sz w:val="32"/>
          <w:szCs w:val="32"/>
        </w:rPr>
      </w:pPr>
    </w:p>
    <w:p w14:paraId="7F1108BA" w14:textId="77777777" w:rsidR="001B267D" w:rsidRDefault="001B267D" w:rsidP="00E407E8">
      <w:pPr>
        <w:rPr>
          <w:rFonts w:ascii="Arial" w:hAnsi="Arial" w:cs="Arial"/>
          <w:b/>
          <w:sz w:val="32"/>
          <w:szCs w:val="32"/>
        </w:rPr>
      </w:pPr>
    </w:p>
    <w:p w14:paraId="4B88C334" w14:textId="77777777" w:rsidR="001B267D" w:rsidRDefault="001B267D" w:rsidP="00E407E8">
      <w:pPr>
        <w:rPr>
          <w:rFonts w:ascii="Arial" w:hAnsi="Arial" w:cs="Arial"/>
          <w:b/>
          <w:sz w:val="32"/>
          <w:szCs w:val="32"/>
        </w:rPr>
      </w:pPr>
    </w:p>
    <w:p w14:paraId="58B570A4" w14:textId="77777777" w:rsidR="001B267D" w:rsidRDefault="001B267D" w:rsidP="00E407E8">
      <w:pPr>
        <w:rPr>
          <w:rFonts w:ascii="Arial" w:hAnsi="Arial" w:cs="Arial"/>
          <w:b/>
          <w:sz w:val="32"/>
          <w:szCs w:val="32"/>
        </w:rPr>
      </w:pPr>
    </w:p>
    <w:p w14:paraId="43AF19BF" w14:textId="77777777" w:rsidR="00357425" w:rsidRDefault="00357425" w:rsidP="00E407E8">
      <w:pPr>
        <w:rPr>
          <w:rFonts w:ascii="Arial" w:hAnsi="Arial" w:cs="Arial"/>
          <w:b/>
          <w:sz w:val="32"/>
          <w:szCs w:val="32"/>
        </w:rPr>
      </w:pPr>
    </w:p>
    <w:p w14:paraId="2F7B89E2" w14:textId="77777777" w:rsidR="00D97A57" w:rsidRDefault="00D97A57" w:rsidP="00E407E8">
      <w:pPr>
        <w:rPr>
          <w:rFonts w:ascii="Arial" w:hAnsi="Arial" w:cs="Arial"/>
          <w:b/>
          <w:sz w:val="32"/>
          <w:szCs w:val="32"/>
        </w:rPr>
      </w:pPr>
    </w:p>
    <w:p w14:paraId="3165603F" w14:textId="77777777" w:rsidR="00E407E8" w:rsidRDefault="00BD1FCA" w:rsidP="00E407E8">
      <w:pPr>
        <w:rPr>
          <w:rFonts w:ascii="Arial" w:hAnsi="Arial" w:cs="Arial"/>
          <w:highlight w:val="yellow"/>
        </w:rPr>
      </w:pPr>
      <w:r>
        <w:rPr>
          <w:rFonts w:ascii="Arial" w:hAnsi="Arial" w:cs="Arial"/>
          <w:b/>
          <w:sz w:val="32"/>
          <w:szCs w:val="32"/>
        </w:rPr>
        <w:t>C</w:t>
      </w:r>
      <w:r w:rsidR="007C4E74">
        <w:rPr>
          <w:rFonts w:ascii="Arial" w:hAnsi="Arial" w:cs="Arial"/>
          <w:b/>
          <w:sz w:val="32"/>
          <w:szCs w:val="32"/>
        </w:rPr>
        <w:t>RITERIA FOR DETERMING A SERVICE CENTER</w:t>
      </w:r>
    </w:p>
    <w:p w14:paraId="192A0CC2" w14:textId="67D2AE72" w:rsidR="00E407E8" w:rsidRDefault="00E407E8" w:rsidP="001B267D">
      <w:pPr>
        <w:pStyle w:val="PlainText"/>
        <w:rPr>
          <w:rFonts w:ascii="Arial" w:hAnsi="Arial" w:cs="Arial"/>
          <w:sz w:val="22"/>
          <w:szCs w:val="22"/>
        </w:rPr>
      </w:pPr>
      <w:r w:rsidRPr="00616417">
        <w:rPr>
          <w:rFonts w:ascii="Arial" w:hAnsi="Arial" w:cs="Arial"/>
          <w:sz w:val="22"/>
          <w:szCs w:val="22"/>
        </w:rPr>
        <w:t>The Vice President for Finance</w:t>
      </w:r>
      <w:r>
        <w:rPr>
          <w:rFonts w:ascii="Arial" w:hAnsi="Arial" w:cs="Arial"/>
          <w:sz w:val="22"/>
          <w:szCs w:val="22"/>
        </w:rPr>
        <w:t xml:space="preserve"> or his </w:t>
      </w:r>
      <w:r w:rsidR="00D30E0B">
        <w:rPr>
          <w:rFonts w:ascii="Arial" w:hAnsi="Arial" w:cs="Arial"/>
          <w:sz w:val="22"/>
          <w:szCs w:val="22"/>
        </w:rPr>
        <w:t xml:space="preserve">designee </w:t>
      </w:r>
      <w:r>
        <w:rPr>
          <w:rFonts w:ascii="Arial" w:hAnsi="Arial" w:cs="Arial"/>
          <w:sz w:val="22"/>
          <w:szCs w:val="22"/>
        </w:rPr>
        <w:t xml:space="preserve">will evaluate and determine if a unit should be designated as a University Service Center, Departmental Service Center, or another type of Recharge Unit based on the criteria contained in </w:t>
      </w:r>
      <w:r w:rsidR="002E240E">
        <w:rPr>
          <w:rFonts w:ascii="Arial" w:hAnsi="Arial" w:cs="Arial"/>
          <w:sz w:val="22"/>
          <w:szCs w:val="22"/>
        </w:rPr>
        <w:t xml:space="preserve">the </w:t>
      </w:r>
      <w:hyperlink r:id="rId15" w:history="1">
        <w:r w:rsidR="002E240E" w:rsidRPr="005C536C">
          <w:rPr>
            <w:rStyle w:val="Hyperlink"/>
            <w:rFonts w:ascii="Arial" w:hAnsi="Arial" w:cs="Arial"/>
            <w:sz w:val="22"/>
            <w:szCs w:val="22"/>
          </w:rPr>
          <w:t>Code of Federal Regulations</w:t>
        </w:r>
      </w:hyperlink>
      <w:r w:rsidR="001B267D">
        <w:rPr>
          <w:rFonts w:ascii="Arial" w:hAnsi="Arial" w:cs="Arial"/>
          <w:sz w:val="22"/>
          <w:szCs w:val="22"/>
        </w:rPr>
        <w:t>.</w:t>
      </w:r>
      <w:r w:rsidR="00C2507B">
        <w:rPr>
          <w:rFonts w:ascii="Arial" w:hAnsi="Arial" w:cs="Arial"/>
          <w:sz w:val="22"/>
          <w:szCs w:val="22"/>
        </w:rPr>
        <w:t xml:space="preserve"> </w:t>
      </w:r>
      <w:r w:rsidRPr="00F73DD7">
        <w:rPr>
          <w:rFonts w:ascii="Arial" w:hAnsi="Arial" w:cs="Arial"/>
          <w:sz w:val="22"/>
          <w:szCs w:val="22"/>
        </w:rPr>
        <w:t>Initial determination needs to be made</w:t>
      </w:r>
      <w:r w:rsidR="005C536C">
        <w:rPr>
          <w:rFonts w:ascii="Arial" w:hAnsi="Arial" w:cs="Arial"/>
          <w:sz w:val="22"/>
          <w:szCs w:val="22"/>
        </w:rPr>
        <w:t xml:space="preserve">, </w:t>
      </w:r>
      <w:r w:rsidRPr="00F73DD7">
        <w:rPr>
          <w:rFonts w:ascii="Arial" w:hAnsi="Arial" w:cs="Arial"/>
          <w:sz w:val="22"/>
          <w:szCs w:val="22"/>
        </w:rPr>
        <w:t xml:space="preserve">that the </w:t>
      </w:r>
      <w:r>
        <w:rPr>
          <w:rFonts w:ascii="Arial" w:hAnsi="Arial" w:cs="Arial"/>
          <w:sz w:val="22"/>
          <w:szCs w:val="22"/>
        </w:rPr>
        <w:t>unit</w:t>
      </w:r>
      <w:r w:rsidRPr="00F73DD7">
        <w:rPr>
          <w:rFonts w:ascii="Arial" w:hAnsi="Arial" w:cs="Arial"/>
          <w:sz w:val="22"/>
          <w:szCs w:val="22"/>
        </w:rPr>
        <w:t xml:space="preserve"> will operate on a continuous basis with frequent transactions. </w:t>
      </w:r>
    </w:p>
    <w:p w14:paraId="7D3826F8" w14:textId="77777777" w:rsidR="00E407E8" w:rsidRDefault="00E407E8" w:rsidP="00E407E8">
      <w:pPr>
        <w:pStyle w:val="PlainText"/>
        <w:ind w:left="720"/>
        <w:rPr>
          <w:rFonts w:ascii="Arial" w:hAnsi="Arial" w:cs="Arial"/>
          <w:sz w:val="22"/>
          <w:szCs w:val="22"/>
        </w:rPr>
      </w:pPr>
    </w:p>
    <w:p w14:paraId="6E3BF6A5" w14:textId="77777777" w:rsidR="00E407E8" w:rsidRDefault="00E407E8" w:rsidP="00E407E8">
      <w:pPr>
        <w:pStyle w:val="PlainText"/>
        <w:numPr>
          <w:ilvl w:val="0"/>
          <w:numId w:val="1"/>
        </w:numPr>
        <w:rPr>
          <w:rFonts w:ascii="Arial" w:hAnsi="Arial" w:cs="Arial"/>
          <w:sz w:val="22"/>
          <w:szCs w:val="22"/>
        </w:rPr>
      </w:pPr>
      <w:r w:rsidRPr="00D75115">
        <w:rPr>
          <w:rFonts w:ascii="Arial" w:hAnsi="Arial" w:cs="Arial"/>
          <w:sz w:val="22"/>
          <w:szCs w:val="22"/>
        </w:rPr>
        <w:t xml:space="preserve">Determination of whether the </w:t>
      </w:r>
      <w:r>
        <w:rPr>
          <w:rFonts w:ascii="Arial" w:hAnsi="Arial" w:cs="Arial"/>
          <w:sz w:val="22"/>
          <w:szCs w:val="22"/>
        </w:rPr>
        <w:t>unit</w:t>
      </w:r>
      <w:r w:rsidRPr="00D75115">
        <w:rPr>
          <w:rFonts w:ascii="Arial" w:hAnsi="Arial" w:cs="Arial"/>
          <w:sz w:val="22"/>
          <w:szCs w:val="22"/>
        </w:rPr>
        <w:t xml:space="preserve"> performs services for the entire University commu</w:t>
      </w:r>
      <w:r w:rsidR="00F96D2C">
        <w:rPr>
          <w:rFonts w:ascii="Arial" w:hAnsi="Arial" w:cs="Arial"/>
          <w:sz w:val="22"/>
          <w:szCs w:val="22"/>
        </w:rPr>
        <w:t>nity, or a large portion of the University community,</w:t>
      </w:r>
      <w:r w:rsidRPr="00D75115">
        <w:rPr>
          <w:rFonts w:ascii="Arial" w:hAnsi="Arial" w:cs="Arial"/>
          <w:sz w:val="22"/>
          <w:szCs w:val="22"/>
        </w:rPr>
        <w:t xml:space="preserve"> which is necessary criteria for qualifying as a University Service Center. </w:t>
      </w:r>
    </w:p>
    <w:p w14:paraId="0D721034" w14:textId="77777777" w:rsidR="00E407E8" w:rsidRDefault="00E407E8" w:rsidP="00E407E8">
      <w:pPr>
        <w:pStyle w:val="PlainText"/>
        <w:rPr>
          <w:rFonts w:ascii="Arial" w:hAnsi="Arial" w:cs="Arial"/>
          <w:sz w:val="22"/>
          <w:szCs w:val="22"/>
        </w:rPr>
      </w:pPr>
    </w:p>
    <w:p w14:paraId="6BE462E5" w14:textId="77777777" w:rsidR="00E407E8" w:rsidRDefault="00E407E8" w:rsidP="005C536C">
      <w:pPr>
        <w:pStyle w:val="PlainText"/>
        <w:numPr>
          <w:ilvl w:val="1"/>
          <w:numId w:val="1"/>
        </w:numPr>
        <w:rPr>
          <w:rFonts w:ascii="Arial" w:hAnsi="Arial" w:cs="Arial"/>
          <w:sz w:val="22"/>
          <w:szCs w:val="22"/>
        </w:rPr>
      </w:pPr>
      <w:r w:rsidRPr="00D75115">
        <w:rPr>
          <w:rFonts w:ascii="Arial" w:hAnsi="Arial" w:cs="Arial"/>
          <w:sz w:val="22"/>
          <w:szCs w:val="22"/>
        </w:rPr>
        <w:t xml:space="preserve">If the </w:t>
      </w:r>
      <w:r>
        <w:rPr>
          <w:rFonts w:ascii="Arial" w:hAnsi="Arial" w:cs="Arial"/>
          <w:sz w:val="22"/>
          <w:szCs w:val="22"/>
        </w:rPr>
        <w:t>unit</w:t>
      </w:r>
      <w:r w:rsidRPr="00D75115">
        <w:rPr>
          <w:rFonts w:ascii="Arial" w:hAnsi="Arial" w:cs="Arial"/>
          <w:sz w:val="22"/>
          <w:szCs w:val="22"/>
        </w:rPr>
        <w:t xml:space="preserve"> provides service to a very limited number of departments, that center would not qualify as a University Service Center, but rather as a Departmental Service Center, or other Recharge Unit. </w:t>
      </w:r>
    </w:p>
    <w:p w14:paraId="33B2DA63" w14:textId="77777777" w:rsidR="00E407E8" w:rsidRDefault="00E407E8" w:rsidP="00E407E8">
      <w:pPr>
        <w:pStyle w:val="PlainText"/>
        <w:ind w:left="720"/>
        <w:rPr>
          <w:rFonts w:ascii="Arial" w:hAnsi="Arial" w:cs="Arial"/>
          <w:sz w:val="22"/>
          <w:szCs w:val="22"/>
        </w:rPr>
      </w:pPr>
    </w:p>
    <w:p w14:paraId="6F70D0B8" w14:textId="77777777" w:rsidR="00E407E8" w:rsidRDefault="00E407E8" w:rsidP="005C536C">
      <w:pPr>
        <w:pStyle w:val="PlainText"/>
        <w:numPr>
          <w:ilvl w:val="1"/>
          <w:numId w:val="1"/>
        </w:numPr>
        <w:rPr>
          <w:rFonts w:ascii="Arial" w:hAnsi="Arial" w:cs="Arial"/>
          <w:sz w:val="22"/>
          <w:szCs w:val="22"/>
        </w:rPr>
      </w:pPr>
      <w:r>
        <w:rPr>
          <w:rFonts w:ascii="Arial" w:hAnsi="Arial" w:cs="Arial"/>
          <w:sz w:val="22"/>
          <w:szCs w:val="22"/>
        </w:rPr>
        <w:t>If the unit provides services to only external non-federal users, that unit would not quality as a Service Center, but rather a Sales and Service center.</w:t>
      </w:r>
    </w:p>
    <w:p w14:paraId="56040AFE" w14:textId="77777777" w:rsidR="00E407E8" w:rsidRPr="00D75115" w:rsidRDefault="00E407E8" w:rsidP="00E407E8">
      <w:pPr>
        <w:pStyle w:val="PlainText"/>
        <w:rPr>
          <w:rFonts w:ascii="Arial" w:hAnsi="Arial" w:cs="Arial"/>
          <w:sz w:val="22"/>
          <w:szCs w:val="22"/>
        </w:rPr>
      </w:pPr>
    </w:p>
    <w:p w14:paraId="74269EB1" w14:textId="77777777" w:rsidR="00E407E8" w:rsidRDefault="00E407E8" w:rsidP="00E407E8">
      <w:pPr>
        <w:pStyle w:val="PlainText"/>
        <w:numPr>
          <w:ilvl w:val="0"/>
          <w:numId w:val="1"/>
        </w:numPr>
        <w:rPr>
          <w:rFonts w:ascii="Arial" w:hAnsi="Arial" w:cs="Arial"/>
          <w:sz w:val="22"/>
          <w:szCs w:val="22"/>
        </w:rPr>
      </w:pPr>
      <w:r w:rsidRPr="00712062">
        <w:rPr>
          <w:rFonts w:ascii="Arial" w:hAnsi="Arial" w:cs="Arial"/>
          <w:sz w:val="22"/>
          <w:szCs w:val="22"/>
        </w:rPr>
        <w:t xml:space="preserve">If that </w:t>
      </w:r>
      <w:r w:rsidR="005C536C" w:rsidRPr="00F73DD7">
        <w:rPr>
          <w:rFonts w:ascii="Arial" w:hAnsi="Arial" w:cs="Arial"/>
          <w:sz w:val="22"/>
          <w:szCs w:val="22"/>
        </w:rPr>
        <w:t>amount of indirect cost likely to be allocated to a proposed service center</w:t>
      </w:r>
      <w:r w:rsidR="005C536C">
        <w:rPr>
          <w:rFonts w:ascii="Arial" w:hAnsi="Arial" w:cs="Arial"/>
          <w:sz w:val="22"/>
          <w:szCs w:val="22"/>
        </w:rPr>
        <w:t xml:space="preserve"> </w:t>
      </w:r>
      <w:r w:rsidRPr="00712062">
        <w:rPr>
          <w:rFonts w:ascii="Arial" w:hAnsi="Arial" w:cs="Arial"/>
          <w:sz w:val="22"/>
          <w:szCs w:val="22"/>
        </w:rPr>
        <w:t xml:space="preserve">is </w:t>
      </w:r>
      <w:r w:rsidRPr="00C2507B">
        <w:rPr>
          <w:rFonts w:ascii="Arial" w:hAnsi="Arial" w:cs="Arial"/>
          <w:sz w:val="22"/>
          <w:szCs w:val="22"/>
        </w:rPr>
        <w:t>material ($100,000 or greater), the</w:t>
      </w:r>
      <w:r w:rsidRPr="00712062">
        <w:rPr>
          <w:rFonts w:ascii="Arial" w:hAnsi="Arial" w:cs="Arial"/>
          <w:sz w:val="22"/>
          <w:szCs w:val="22"/>
        </w:rPr>
        <w:t xml:space="preserve"> service center qualifies as a University Service Center. </w:t>
      </w:r>
    </w:p>
    <w:p w14:paraId="08A2E623" w14:textId="77777777" w:rsidR="00A736A7" w:rsidRDefault="00A736A7" w:rsidP="00A736A7">
      <w:pPr>
        <w:pStyle w:val="PlainText"/>
        <w:rPr>
          <w:rFonts w:ascii="Arial" w:hAnsi="Arial" w:cs="Arial"/>
          <w:sz w:val="22"/>
          <w:szCs w:val="22"/>
        </w:rPr>
      </w:pPr>
    </w:p>
    <w:p w14:paraId="6C638DAD" w14:textId="77777777" w:rsidR="00A736A7" w:rsidRDefault="00A736A7" w:rsidP="00A736A7">
      <w:pPr>
        <w:pStyle w:val="PlainText"/>
        <w:rPr>
          <w:rFonts w:ascii="Arial" w:hAnsi="Arial" w:cs="Arial"/>
          <w:sz w:val="22"/>
          <w:szCs w:val="22"/>
        </w:rPr>
      </w:pPr>
    </w:p>
    <w:p w14:paraId="423F1232" w14:textId="77777777" w:rsidR="00A736A7" w:rsidRDefault="00A736A7" w:rsidP="00A736A7">
      <w:pPr>
        <w:pStyle w:val="PlainText"/>
        <w:rPr>
          <w:rFonts w:ascii="Arial" w:hAnsi="Arial" w:cs="Arial"/>
          <w:sz w:val="22"/>
          <w:szCs w:val="22"/>
        </w:rPr>
      </w:pPr>
    </w:p>
    <w:p w14:paraId="08A9D4D2" w14:textId="77777777" w:rsidR="0009203D" w:rsidRDefault="0009203D" w:rsidP="00E407E8">
      <w:pPr>
        <w:rPr>
          <w:rFonts w:ascii="Arial" w:hAnsi="Arial" w:cs="Arial"/>
          <w:b/>
          <w:sz w:val="32"/>
          <w:szCs w:val="32"/>
        </w:rPr>
      </w:pPr>
    </w:p>
    <w:p w14:paraId="765628CB" w14:textId="77777777" w:rsidR="00E407E8" w:rsidRPr="00A00DCB" w:rsidRDefault="007C4E74" w:rsidP="00E407E8">
      <w:pPr>
        <w:rPr>
          <w:rFonts w:ascii="Arial" w:hAnsi="Arial" w:cs="Arial"/>
          <w:highlight w:val="yellow"/>
        </w:rPr>
      </w:pPr>
      <w:r>
        <w:rPr>
          <w:rFonts w:ascii="Arial" w:hAnsi="Arial" w:cs="Arial"/>
          <w:b/>
          <w:sz w:val="32"/>
          <w:szCs w:val="32"/>
        </w:rPr>
        <w:t>SETTING UP</w:t>
      </w:r>
      <w:r w:rsidR="00E407E8">
        <w:rPr>
          <w:rFonts w:ascii="Arial" w:hAnsi="Arial" w:cs="Arial"/>
          <w:b/>
          <w:sz w:val="32"/>
          <w:szCs w:val="32"/>
        </w:rPr>
        <w:t xml:space="preserve"> A SERVICE CENTER FUND</w:t>
      </w:r>
    </w:p>
    <w:p w14:paraId="6267EFE7" w14:textId="77777777" w:rsidR="00E407E8" w:rsidRDefault="00E407E8" w:rsidP="00E407E8">
      <w:pPr>
        <w:pStyle w:val="PlainText"/>
        <w:rPr>
          <w:rFonts w:ascii="Arial" w:hAnsi="Arial" w:cs="Arial"/>
          <w:sz w:val="22"/>
          <w:szCs w:val="22"/>
        </w:rPr>
      </w:pPr>
      <w:r w:rsidRPr="00F73DD7">
        <w:rPr>
          <w:rFonts w:ascii="Arial" w:hAnsi="Arial" w:cs="Arial"/>
          <w:sz w:val="22"/>
          <w:szCs w:val="22"/>
        </w:rPr>
        <w:t xml:space="preserve">Upon ascertaining that an entity is a </w:t>
      </w:r>
      <w:r>
        <w:rPr>
          <w:rFonts w:ascii="Arial" w:hAnsi="Arial" w:cs="Arial"/>
          <w:sz w:val="22"/>
          <w:szCs w:val="22"/>
        </w:rPr>
        <w:t>Service Center</w:t>
      </w:r>
      <w:r w:rsidRPr="00F73DD7">
        <w:rPr>
          <w:rFonts w:ascii="Arial" w:hAnsi="Arial" w:cs="Arial"/>
          <w:sz w:val="22"/>
          <w:szCs w:val="22"/>
        </w:rPr>
        <w:t>, it is necessary for the ma</w:t>
      </w:r>
      <w:r>
        <w:rPr>
          <w:rFonts w:ascii="Arial" w:hAnsi="Arial" w:cs="Arial"/>
          <w:sz w:val="22"/>
          <w:szCs w:val="22"/>
        </w:rPr>
        <w:t xml:space="preserve">nagement </w:t>
      </w:r>
      <w:r w:rsidRPr="00F73DD7">
        <w:rPr>
          <w:rFonts w:ascii="Arial" w:hAnsi="Arial" w:cs="Arial"/>
          <w:sz w:val="22"/>
          <w:szCs w:val="22"/>
        </w:rPr>
        <w:t xml:space="preserve">of the </w:t>
      </w:r>
      <w:r>
        <w:rPr>
          <w:rFonts w:ascii="Arial" w:hAnsi="Arial" w:cs="Arial"/>
          <w:sz w:val="22"/>
          <w:szCs w:val="22"/>
        </w:rPr>
        <w:t>Service Center</w:t>
      </w:r>
      <w:r w:rsidRPr="00F73DD7">
        <w:rPr>
          <w:rFonts w:ascii="Arial" w:hAnsi="Arial" w:cs="Arial"/>
          <w:sz w:val="22"/>
          <w:szCs w:val="22"/>
        </w:rPr>
        <w:t xml:space="preserve"> to </w:t>
      </w:r>
      <w:r>
        <w:rPr>
          <w:rFonts w:ascii="Arial" w:hAnsi="Arial" w:cs="Arial"/>
          <w:sz w:val="22"/>
          <w:szCs w:val="22"/>
        </w:rPr>
        <w:t>complete the following:</w:t>
      </w:r>
    </w:p>
    <w:p w14:paraId="486B4A02" w14:textId="77777777" w:rsidR="00E407E8" w:rsidRDefault="00E407E8" w:rsidP="00E407E8">
      <w:pPr>
        <w:pStyle w:val="PlainText"/>
        <w:rPr>
          <w:rFonts w:ascii="Arial" w:hAnsi="Arial" w:cs="Arial"/>
          <w:sz w:val="22"/>
          <w:szCs w:val="22"/>
        </w:rPr>
      </w:pPr>
    </w:p>
    <w:p w14:paraId="57030771" w14:textId="77777777" w:rsidR="00E407E8" w:rsidRDefault="00E407E8" w:rsidP="00E407E8">
      <w:pPr>
        <w:pStyle w:val="PlainText"/>
        <w:rPr>
          <w:rFonts w:ascii="Arial" w:hAnsi="Arial" w:cs="Arial"/>
          <w:sz w:val="22"/>
          <w:szCs w:val="22"/>
        </w:rPr>
      </w:pPr>
      <w:r>
        <w:rPr>
          <w:rFonts w:ascii="Arial" w:hAnsi="Arial" w:cs="Arial"/>
          <w:sz w:val="22"/>
          <w:szCs w:val="22"/>
        </w:rPr>
        <w:t>1) An</w:t>
      </w:r>
      <w:r w:rsidRPr="00C11D33">
        <w:rPr>
          <w:rFonts w:ascii="Arial" w:hAnsi="Arial" w:cs="Arial"/>
          <w:sz w:val="22"/>
          <w:szCs w:val="22"/>
        </w:rPr>
        <w:t xml:space="preserve"> </w:t>
      </w:r>
      <w:hyperlink r:id="rId16" w:anchor="A200" w:history="1">
        <w:r w:rsidRPr="00C11D33">
          <w:rPr>
            <w:rStyle w:val="Hyperlink"/>
            <w:rFonts w:ascii="Arial" w:hAnsi="Arial" w:cs="Arial"/>
            <w:sz w:val="22"/>
            <w:szCs w:val="22"/>
          </w:rPr>
          <w:t>A200 Accounting Master Data Request Form</w:t>
        </w:r>
      </w:hyperlink>
      <w:r w:rsidRPr="00C11D33">
        <w:rPr>
          <w:rFonts w:ascii="Arial" w:hAnsi="Arial" w:cs="Arial"/>
          <w:sz w:val="22"/>
          <w:szCs w:val="22"/>
        </w:rPr>
        <w:t>. The A200 form</w:t>
      </w:r>
      <w:r>
        <w:rPr>
          <w:rFonts w:ascii="Arial" w:hAnsi="Arial" w:cs="Arial"/>
          <w:sz w:val="22"/>
          <w:szCs w:val="22"/>
        </w:rPr>
        <w:t xml:space="preserve"> is used to create, change or close funds, cost centers/fund centers, and general ledger accounts in UC Flex. Service Centers will need to submit a request to create a Designated Service Center Fund (D6xxxxx), a Cost Center, and a Renewal &amp; Replacement Fund (P6xxxxx).</w:t>
      </w:r>
    </w:p>
    <w:p w14:paraId="2A41564A" w14:textId="77777777" w:rsidR="00E407E8" w:rsidRDefault="00E407E8" w:rsidP="00E407E8">
      <w:pPr>
        <w:pStyle w:val="PlainText"/>
        <w:rPr>
          <w:rFonts w:ascii="Arial" w:hAnsi="Arial" w:cs="Arial"/>
          <w:sz w:val="22"/>
          <w:szCs w:val="22"/>
        </w:rPr>
      </w:pPr>
    </w:p>
    <w:p w14:paraId="27981F5D" w14:textId="77777777" w:rsidR="00E407E8" w:rsidRDefault="00E407E8" w:rsidP="00E407E8">
      <w:pPr>
        <w:pStyle w:val="PlainText"/>
        <w:rPr>
          <w:rFonts w:ascii="Arial" w:hAnsi="Arial" w:cs="Arial"/>
          <w:sz w:val="22"/>
          <w:szCs w:val="22"/>
        </w:rPr>
      </w:pPr>
      <w:r w:rsidRPr="00304ACE">
        <w:rPr>
          <w:rFonts w:ascii="Arial" w:hAnsi="Arial" w:cs="Arial"/>
          <w:sz w:val="22"/>
          <w:szCs w:val="22"/>
        </w:rPr>
        <w:t xml:space="preserve">2)  A </w:t>
      </w:r>
      <w:hyperlink w:anchor="Questionnaire" w:history="1">
        <w:r w:rsidRPr="00304ACE">
          <w:rPr>
            <w:rStyle w:val="Hyperlink"/>
            <w:rFonts w:ascii="Arial" w:hAnsi="Arial" w:cs="Arial"/>
            <w:sz w:val="22"/>
            <w:szCs w:val="22"/>
          </w:rPr>
          <w:t>Service Center Questionnaire</w:t>
        </w:r>
      </w:hyperlink>
      <w:r w:rsidRPr="00304ACE">
        <w:rPr>
          <w:rFonts w:ascii="Arial" w:hAnsi="Arial" w:cs="Arial"/>
          <w:sz w:val="22"/>
          <w:szCs w:val="22"/>
        </w:rPr>
        <w:t xml:space="preserve"> must be</w:t>
      </w:r>
      <w:r>
        <w:rPr>
          <w:rFonts w:ascii="Arial" w:hAnsi="Arial" w:cs="Arial"/>
          <w:sz w:val="22"/>
          <w:szCs w:val="22"/>
        </w:rPr>
        <w:t xml:space="preserve"> submitted for review and rates must be approved prior to the unit beginning operations. The questionnaire includes a projected annual budget, equipment depreciation schedule, rate calculations</w:t>
      </w:r>
      <w:r w:rsidRPr="00F73DD7">
        <w:rPr>
          <w:rFonts w:ascii="Arial" w:hAnsi="Arial" w:cs="Arial"/>
          <w:sz w:val="22"/>
          <w:szCs w:val="22"/>
        </w:rPr>
        <w:t>, and</w:t>
      </w:r>
      <w:r>
        <w:rPr>
          <w:rFonts w:ascii="Arial" w:hAnsi="Arial" w:cs="Arial"/>
          <w:sz w:val="22"/>
          <w:szCs w:val="22"/>
        </w:rPr>
        <w:t xml:space="preserve"> proposed rates. Rates must be calculated to break-even over time.</w:t>
      </w:r>
    </w:p>
    <w:p w14:paraId="11F7FB65" w14:textId="77777777" w:rsidR="00E407E8" w:rsidRDefault="00E407E8" w:rsidP="00E407E8">
      <w:pPr>
        <w:rPr>
          <w:rFonts w:ascii="Arial" w:hAnsi="Arial" w:cs="Arial"/>
          <w:b/>
          <w:sz w:val="32"/>
          <w:szCs w:val="32"/>
        </w:rPr>
      </w:pPr>
    </w:p>
    <w:p w14:paraId="7174058A" w14:textId="77777777" w:rsidR="00A33F3C" w:rsidRDefault="00A33F3C" w:rsidP="00E407E8">
      <w:pPr>
        <w:rPr>
          <w:rFonts w:ascii="Arial" w:hAnsi="Arial" w:cs="Arial"/>
          <w:b/>
          <w:sz w:val="32"/>
          <w:szCs w:val="32"/>
        </w:rPr>
      </w:pPr>
    </w:p>
    <w:p w14:paraId="0B0573A6" w14:textId="77777777" w:rsidR="00357425" w:rsidRDefault="00357425" w:rsidP="00E407E8">
      <w:pPr>
        <w:rPr>
          <w:rFonts w:ascii="Arial" w:hAnsi="Arial" w:cs="Arial"/>
          <w:b/>
          <w:sz w:val="32"/>
          <w:szCs w:val="32"/>
        </w:rPr>
      </w:pPr>
    </w:p>
    <w:p w14:paraId="6B326C29" w14:textId="77777777" w:rsidR="00A33F3C" w:rsidRDefault="00A33F3C" w:rsidP="00E407E8">
      <w:pPr>
        <w:rPr>
          <w:rFonts w:ascii="Arial" w:hAnsi="Arial" w:cs="Arial"/>
          <w:b/>
          <w:sz w:val="32"/>
          <w:szCs w:val="32"/>
        </w:rPr>
      </w:pPr>
    </w:p>
    <w:p w14:paraId="086C5E54" w14:textId="77777777" w:rsidR="00A33F3C" w:rsidRDefault="00A33F3C" w:rsidP="00E407E8">
      <w:pPr>
        <w:rPr>
          <w:rFonts w:ascii="Arial" w:hAnsi="Arial" w:cs="Arial"/>
          <w:b/>
          <w:sz w:val="32"/>
          <w:szCs w:val="32"/>
        </w:rPr>
      </w:pPr>
    </w:p>
    <w:p w14:paraId="406B72B0" w14:textId="77777777" w:rsidR="00E407E8" w:rsidRPr="00A00DCB" w:rsidRDefault="00A736A7" w:rsidP="00E407E8">
      <w:pPr>
        <w:rPr>
          <w:rFonts w:ascii="Arial" w:hAnsi="Arial" w:cs="Arial"/>
          <w:highlight w:val="yellow"/>
        </w:rPr>
      </w:pPr>
      <w:r>
        <w:rPr>
          <w:rFonts w:ascii="Arial" w:hAnsi="Arial" w:cs="Arial"/>
          <w:b/>
          <w:sz w:val="32"/>
          <w:szCs w:val="32"/>
        </w:rPr>
        <w:t>S</w:t>
      </w:r>
      <w:r w:rsidR="00E407E8">
        <w:rPr>
          <w:rFonts w:ascii="Arial" w:hAnsi="Arial" w:cs="Arial"/>
          <w:b/>
          <w:sz w:val="32"/>
          <w:szCs w:val="32"/>
        </w:rPr>
        <w:t xml:space="preserve">ERVICE CENTER </w:t>
      </w:r>
      <w:r w:rsidR="00BF6F7E">
        <w:rPr>
          <w:rFonts w:ascii="Arial" w:hAnsi="Arial" w:cs="Arial"/>
          <w:b/>
          <w:sz w:val="32"/>
          <w:szCs w:val="32"/>
        </w:rPr>
        <w:t>REVIEW</w:t>
      </w:r>
      <w:r w:rsidR="002E240E">
        <w:rPr>
          <w:rFonts w:ascii="Arial" w:hAnsi="Arial" w:cs="Arial"/>
          <w:b/>
          <w:sz w:val="32"/>
          <w:szCs w:val="32"/>
        </w:rPr>
        <w:t xml:space="preserve"> &amp; RATE APPROVAL</w:t>
      </w:r>
    </w:p>
    <w:p w14:paraId="751BB049" w14:textId="77777777" w:rsidR="00A736A7" w:rsidRDefault="00A736A7" w:rsidP="00E407E8">
      <w:pPr>
        <w:pStyle w:val="PlainText"/>
        <w:rPr>
          <w:rFonts w:ascii="Arial" w:hAnsi="Arial" w:cs="Arial"/>
          <w:b/>
          <w:i/>
          <w:sz w:val="24"/>
          <w:szCs w:val="24"/>
          <w:u w:val="single"/>
        </w:rPr>
      </w:pPr>
    </w:p>
    <w:p w14:paraId="4246E55E" w14:textId="77777777" w:rsidR="00E407E8" w:rsidRPr="00583D9D" w:rsidRDefault="00E407E8" w:rsidP="00E407E8">
      <w:pPr>
        <w:pStyle w:val="PlainText"/>
        <w:rPr>
          <w:rFonts w:ascii="Arial" w:hAnsi="Arial" w:cs="Arial"/>
          <w:b/>
          <w:sz w:val="24"/>
          <w:szCs w:val="24"/>
          <w:u w:val="single"/>
        </w:rPr>
      </w:pPr>
      <w:r w:rsidRPr="00BF6F7E">
        <w:rPr>
          <w:rFonts w:ascii="Arial" w:hAnsi="Arial" w:cs="Arial"/>
          <w:b/>
          <w:i/>
          <w:sz w:val="24"/>
          <w:szCs w:val="24"/>
          <w:u w:val="single"/>
        </w:rPr>
        <w:t>University Service Centers</w:t>
      </w:r>
      <w:r w:rsidR="00BF6F7E">
        <w:rPr>
          <w:rFonts w:ascii="Arial" w:hAnsi="Arial" w:cs="Arial"/>
          <w:b/>
          <w:sz w:val="24"/>
          <w:szCs w:val="24"/>
          <w:u w:val="single"/>
        </w:rPr>
        <w:t xml:space="preserve"> Budget Review and Rate Approval </w:t>
      </w:r>
    </w:p>
    <w:p w14:paraId="34DA22F0" w14:textId="77777777" w:rsidR="00E407E8" w:rsidRDefault="00E407E8" w:rsidP="00E407E8">
      <w:pPr>
        <w:pStyle w:val="PlainText"/>
        <w:rPr>
          <w:rFonts w:ascii="Arial" w:hAnsi="Arial" w:cs="Arial"/>
          <w:b/>
          <w:sz w:val="22"/>
          <w:szCs w:val="22"/>
          <w:u w:val="single"/>
        </w:rPr>
      </w:pPr>
    </w:p>
    <w:p w14:paraId="2F7B1839" w14:textId="77777777" w:rsidR="00E407E8" w:rsidRDefault="00C314B6" w:rsidP="00E407E8">
      <w:pPr>
        <w:pStyle w:val="PlainText"/>
        <w:rPr>
          <w:rFonts w:ascii="Arial" w:hAnsi="Arial" w:cs="Arial"/>
          <w:sz w:val="22"/>
          <w:szCs w:val="22"/>
        </w:rPr>
      </w:pPr>
      <w:r w:rsidRPr="00BF6F7E">
        <w:rPr>
          <w:rFonts w:ascii="Arial" w:hAnsi="Arial" w:cs="Arial"/>
          <w:sz w:val="22"/>
          <w:szCs w:val="22"/>
        </w:rPr>
        <w:t>Service Center Questionnaires</w:t>
      </w:r>
      <w:r w:rsidR="00E407E8" w:rsidRPr="00BF6F7E">
        <w:rPr>
          <w:rFonts w:ascii="Arial" w:hAnsi="Arial" w:cs="Arial"/>
          <w:sz w:val="22"/>
          <w:szCs w:val="22"/>
        </w:rPr>
        <w:t xml:space="preserve"> are reviewed an</w:t>
      </w:r>
      <w:r w:rsidR="00C2507B">
        <w:rPr>
          <w:rFonts w:ascii="Arial" w:hAnsi="Arial" w:cs="Arial"/>
          <w:sz w:val="22"/>
          <w:szCs w:val="22"/>
        </w:rPr>
        <w:t>nually</w:t>
      </w:r>
      <w:r w:rsidR="001A2112">
        <w:rPr>
          <w:rFonts w:ascii="Arial" w:hAnsi="Arial" w:cs="Arial"/>
          <w:sz w:val="22"/>
          <w:szCs w:val="22"/>
        </w:rPr>
        <w:t>,</w:t>
      </w:r>
      <w:r w:rsidR="00C2507B">
        <w:rPr>
          <w:rFonts w:ascii="Arial" w:hAnsi="Arial" w:cs="Arial"/>
          <w:sz w:val="22"/>
          <w:szCs w:val="22"/>
        </w:rPr>
        <w:t xml:space="preserve"> by </w:t>
      </w:r>
      <w:r w:rsidR="00E407E8" w:rsidRPr="00BF6F7E">
        <w:rPr>
          <w:rFonts w:ascii="Arial" w:hAnsi="Arial" w:cs="Arial"/>
          <w:sz w:val="22"/>
          <w:szCs w:val="22"/>
        </w:rPr>
        <w:t xml:space="preserve">Government Cost Compliance and </w:t>
      </w:r>
      <w:r w:rsidR="003246FD">
        <w:rPr>
          <w:rFonts w:ascii="Arial" w:hAnsi="Arial" w:cs="Arial"/>
          <w:sz w:val="22"/>
          <w:szCs w:val="22"/>
        </w:rPr>
        <w:t xml:space="preserve">the Recharge Council. </w:t>
      </w:r>
    </w:p>
    <w:p w14:paraId="205CFDAE" w14:textId="77777777" w:rsidR="00C2507B" w:rsidRPr="00BF6F7E" w:rsidRDefault="00C2507B" w:rsidP="00E407E8">
      <w:pPr>
        <w:pStyle w:val="PlainText"/>
        <w:rPr>
          <w:rFonts w:ascii="Arial" w:hAnsi="Arial" w:cs="Arial"/>
          <w:sz w:val="22"/>
          <w:szCs w:val="22"/>
        </w:rPr>
      </w:pPr>
    </w:p>
    <w:p w14:paraId="2A7CADD1" w14:textId="77777777" w:rsidR="00C2507B" w:rsidRDefault="00C2507B" w:rsidP="00C2507B">
      <w:pPr>
        <w:pStyle w:val="PlainText"/>
        <w:rPr>
          <w:rFonts w:ascii="Arial" w:hAnsi="Arial" w:cs="Arial"/>
          <w:sz w:val="22"/>
          <w:szCs w:val="22"/>
        </w:rPr>
      </w:pPr>
      <w:r>
        <w:rPr>
          <w:rFonts w:ascii="Arial" w:hAnsi="Arial" w:cs="Arial"/>
          <w:sz w:val="22"/>
          <w:szCs w:val="22"/>
        </w:rPr>
        <w:t xml:space="preserve">The Service Center Questionnaire must be completed by the Service Center and sent to Government Cost Compliance for review. </w:t>
      </w:r>
      <w:r w:rsidRPr="00ED1DCA">
        <w:rPr>
          <w:rFonts w:ascii="Arial" w:hAnsi="Arial" w:cs="Arial"/>
          <w:sz w:val="22"/>
          <w:szCs w:val="22"/>
        </w:rPr>
        <w:t>Government Cost Compliance</w:t>
      </w:r>
      <w:r>
        <w:rPr>
          <w:rFonts w:ascii="Arial" w:hAnsi="Arial" w:cs="Arial"/>
          <w:sz w:val="22"/>
          <w:szCs w:val="22"/>
        </w:rPr>
        <w:t xml:space="preserve"> </w:t>
      </w:r>
      <w:r w:rsidRPr="00ED1DCA">
        <w:rPr>
          <w:rFonts w:ascii="Arial" w:hAnsi="Arial" w:cs="Arial"/>
          <w:sz w:val="22"/>
          <w:szCs w:val="22"/>
        </w:rPr>
        <w:t>will review the questionnaire and assist Service Center management with preparing the questionnaire.</w:t>
      </w:r>
    </w:p>
    <w:p w14:paraId="0C24E7D9" w14:textId="77777777" w:rsidR="00C2507B" w:rsidRDefault="00C2507B" w:rsidP="00C2507B">
      <w:pPr>
        <w:pStyle w:val="PlainText"/>
        <w:rPr>
          <w:rFonts w:ascii="Arial" w:hAnsi="Arial" w:cs="Arial"/>
          <w:sz w:val="22"/>
          <w:szCs w:val="22"/>
        </w:rPr>
      </w:pPr>
    </w:p>
    <w:p w14:paraId="7EDF16CB" w14:textId="77777777" w:rsidR="00C2507B" w:rsidRDefault="00C2507B" w:rsidP="00C2507B">
      <w:pPr>
        <w:pStyle w:val="PlainText"/>
        <w:rPr>
          <w:rFonts w:ascii="Arial" w:hAnsi="Arial" w:cs="Arial"/>
          <w:sz w:val="22"/>
          <w:szCs w:val="22"/>
        </w:rPr>
      </w:pPr>
      <w:r>
        <w:rPr>
          <w:rFonts w:ascii="Arial" w:hAnsi="Arial" w:cs="Arial"/>
          <w:sz w:val="22"/>
          <w:szCs w:val="22"/>
        </w:rPr>
        <w:t xml:space="preserve">The final questionnaire </w:t>
      </w:r>
      <w:r w:rsidR="007509EA">
        <w:rPr>
          <w:rFonts w:ascii="Arial" w:hAnsi="Arial" w:cs="Arial"/>
          <w:sz w:val="22"/>
          <w:szCs w:val="22"/>
        </w:rPr>
        <w:t>must be</w:t>
      </w:r>
      <w:r>
        <w:rPr>
          <w:rFonts w:ascii="Arial" w:hAnsi="Arial" w:cs="Arial"/>
          <w:sz w:val="22"/>
          <w:szCs w:val="22"/>
        </w:rPr>
        <w:t xml:space="preserve"> submitted to the chair of the Recharge Council.</w:t>
      </w:r>
    </w:p>
    <w:p w14:paraId="4F7A54F8" w14:textId="77777777" w:rsidR="00E407E8" w:rsidRDefault="00E407E8" w:rsidP="00E407E8">
      <w:pPr>
        <w:pStyle w:val="PlainText"/>
        <w:rPr>
          <w:rFonts w:ascii="Arial" w:hAnsi="Arial" w:cs="Arial"/>
          <w:sz w:val="22"/>
          <w:szCs w:val="22"/>
        </w:rPr>
      </w:pPr>
    </w:p>
    <w:p w14:paraId="231A853D" w14:textId="77777777" w:rsidR="00E407E8" w:rsidRDefault="00E407E8" w:rsidP="00E407E8">
      <w:pPr>
        <w:pStyle w:val="PlainText"/>
        <w:rPr>
          <w:rFonts w:ascii="Arial" w:hAnsi="Arial" w:cs="Arial"/>
          <w:sz w:val="22"/>
          <w:szCs w:val="22"/>
        </w:rPr>
      </w:pPr>
      <w:r>
        <w:rPr>
          <w:rFonts w:ascii="Arial" w:hAnsi="Arial" w:cs="Arial"/>
          <w:sz w:val="22"/>
          <w:szCs w:val="22"/>
        </w:rPr>
        <w:t xml:space="preserve">The Service Center must present the final questionnaire to the Recharge Council for approval. Once the rates are </w:t>
      </w:r>
      <w:r w:rsidR="00357425">
        <w:rPr>
          <w:rFonts w:ascii="Arial" w:hAnsi="Arial" w:cs="Arial"/>
          <w:sz w:val="22"/>
          <w:szCs w:val="22"/>
        </w:rPr>
        <w:t>approved,</w:t>
      </w:r>
      <w:r>
        <w:rPr>
          <w:rFonts w:ascii="Arial" w:hAnsi="Arial" w:cs="Arial"/>
          <w:sz w:val="22"/>
          <w:szCs w:val="22"/>
        </w:rPr>
        <w:t xml:space="preserve"> a </w:t>
      </w:r>
      <w:r w:rsidR="00BF6F7E">
        <w:rPr>
          <w:rFonts w:ascii="Arial" w:hAnsi="Arial" w:cs="Arial"/>
          <w:sz w:val="22"/>
          <w:szCs w:val="22"/>
        </w:rPr>
        <w:t>rate approval letter</w:t>
      </w:r>
      <w:r>
        <w:rPr>
          <w:rFonts w:ascii="Arial" w:hAnsi="Arial" w:cs="Arial"/>
          <w:sz w:val="22"/>
          <w:szCs w:val="22"/>
        </w:rPr>
        <w:t xml:space="preserve"> will be sent to the Service Center. All approved rates are published on the Government Cost Compliance website.</w:t>
      </w:r>
    </w:p>
    <w:p w14:paraId="4B763227" w14:textId="77777777" w:rsidR="004619DD" w:rsidRDefault="004619DD" w:rsidP="00E407E8">
      <w:pPr>
        <w:pStyle w:val="PlainText"/>
        <w:rPr>
          <w:rFonts w:ascii="Arial" w:hAnsi="Arial" w:cs="Arial"/>
          <w:sz w:val="22"/>
          <w:szCs w:val="22"/>
        </w:rPr>
      </w:pPr>
    </w:p>
    <w:p w14:paraId="106ED677" w14:textId="77777777" w:rsidR="00A736A7" w:rsidRDefault="00A736A7" w:rsidP="00E407E8">
      <w:pPr>
        <w:pStyle w:val="PlainText"/>
        <w:rPr>
          <w:rFonts w:ascii="Arial" w:hAnsi="Arial" w:cs="Arial"/>
          <w:b/>
          <w:sz w:val="24"/>
          <w:szCs w:val="24"/>
          <w:u w:val="single"/>
        </w:rPr>
      </w:pPr>
    </w:p>
    <w:p w14:paraId="072653F9" w14:textId="77777777" w:rsidR="00E407E8" w:rsidRPr="00583D9D" w:rsidRDefault="002E240E" w:rsidP="00E407E8">
      <w:pPr>
        <w:pStyle w:val="PlainText"/>
        <w:rPr>
          <w:rFonts w:ascii="Arial" w:hAnsi="Arial" w:cs="Arial"/>
          <w:b/>
          <w:sz w:val="24"/>
          <w:szCs w:val="24"/>
          <w:u w:val="single"/>
        </w:rPr>
      </w:pPr>
      <w:r>
        <w:rPr>
          <w:rFonts w:ascii="Arial" w:hAnsi="Arial" w:cs="Arial"/>
          <w:b/>
          <w:sz w:val="24"/>
          <w:szCs w:val="24"/>
          <w:u w:val="single"/>
        </w:rPr>
        <w:t>Departmental Service Centers Budget Review and Rate Approval</w:t>
      </w:r>
    </w:p>
    <w:p w14:paraId="64702888" w14:textId="77777777" w:rsidR="00583D9D" w:rsidRDefault="00583D9D" w:rsidP="00E407E8">
      <w:pPr>
        <w:pStyle w:val="PlainText"/>
        <w:rPr>
          <w:rFonts w:ascii="Arial" w:hAnsi="Arial" w:cs="Arial"/>
          <w:sz w:val="22"/>
          <w:szCs w:val="22"/>
        </w:rPr>
      </w:pPr>
    </w:p>
    <w:p w14:paraId="3DCFE8A3" w14:textId="4570DAC2" w:rsidR="00E407E8" w:rsidRDefault="002E240E" w:rsidP="00E407E8">
      <w:pPr>
        <w:pStyle w:val="PlainText"/>
        <w:rPr>
          <w:rFonts w:ascii="Arial" w:hAnsi="Arial" w:cs="Arial"/>
          <w:sz w:val="22"/>
          <w:szCs w:val="22"/>
        </w:rPr>
      </w:pPr>
      <w:r>
        <w:rPr>
          <w:rFonts w:ascii="Arial" w:hAnsi="Arial" w:cs="Arial"/>
          <w:sz w:val="22"/>
          <w:szCs w:val="22"/>
        </w:rPr>
        <w:t>Service Center Questionnaires</w:t>
      </w:r>
      <w:r w:rsidR="00E407E8">
        <w:rPr>
          <w:rFonts w:ascii="Arial" w:hAnsi="Arial" w:cs="Arial"/>
          <w:sz w:val="22"/>
          <w:szCs w:val="22"/>
        </w:rPr>
        <w:t xml:space="preserve"> are reviewed</w:t>
      </w:r>
      <w:r w:rsidR="007367A3">
        <w:rPr>
          <w:rFonts w:ascii="Arial" w:hAnsi="Arial" w:cs="Arial"/>
          <w:sz w:val="22"/>
          <w:szCs w:val="22"/>
        </w:rPr>
        <w:t xml:space="preserve"> no less than</w:t>
      </w:r>
      <w:r w:rsidR="00E407E8">
        <w:rPr>
          <w:rFonts w:ascii="Arial" w:hAnsi="Arial" w:cs="Arial"/>
          <w:sz w:val="22"/>
          <w:szCs w:val="22"/>
        </w:rPr>
        <w:t xml:space="preserve"> bi-annually by Government Cost Compliance and the Recharge Council. The rates are approved only by the Recharge Council.</w:t>
      </w:r>
    </w:p>
    <w:p w14:paraId="6C1C7906" w14:textId="77777777" w:rsidR="00E407E8" w:rsidRDefault="00E407E8" w:rsidP="00E407E8">
      <w:pPr>
        <w:pStyle w:val="PlainText"/>
        <w:rPr>
          <w:rFonts w:ascii="Arial" w:hAnsi="Arial" w:cs="Arial"/>
          <w:sz w:val="22"/>
          <w:szCs w:val="22"/>
        </w:rPr>
      </w:pPr>
    </w:p>
    <w:p w14:paraId="1B5BC3C8" w14:textId="77777777" w:rsidR="00E407E8" w:rsidRDefault="00E407E8" w:rsidP="00E407E8">
      <w:pPr>
        <w:pStyle w:val="PlainText"/>
        <w:rPr>
          <w:rFonts w:ascii="Arial" w:hAnsi="Arial" w:cs="Arial"/>
          <w:sz w:val="22"/>
          <w:szCs w:val="22"/>
        </w:rPr>
      </w:pPr>
      <w:r>
        <w:rPr>
          <w:rFonts w:ascii="Arial" w:hAnsi="Arial" w:cs="Arial"/>
          <w:sz w:val="22"/>
          <w:szCs w:val="22"/>
        </w:rPr>
        <w:t xml:space="preserve">The Service Center Questionnaire </w:t>
      </w:r>
      <w:r w:rsidR="00BF6F7E">
        <w:rPr>
          <w:rFonts w:ascii="Arial" w:hAnsi="Arial" w:cs="Arial"/>
          <w:sz w:val="22"/>
          <w:szCs w:val="22"/>
        </w:rPr>
        <w:t>must</w:t>
      </w:r>
      <w:r>
        <w:rPr>
          <w:rFonts w:ascii="Arial" w:hAnsi="Arial" w:cs="Arial"/>
          <w:sz w:val="22"/>
          <w:szCs w:val="22"/>
        </w:rPr>
        <w:t xml:space="preserve"> be completed </w:t>
      </w:r>
      <w:r w:rsidR="002E240E">
        <w:rPr>
          <w:rFonts w:ascii="Arial" w:hAnsi="Arial" w:cs="Arial"/>
          <w:sz w:val="22"/>
          <w:szCs w:val="22"/>
        </w:rPr>
        <w:t xml:space="preserve">by the Service Center </w:t>
      </w:r>
      <w:r>
        <w:rPr>
          <w:rFonts w:ascii="Arial" w:hAnsi="Arial" w:cs="Arial"/>
          <w:sz w:val="22"/>
          <w:szCs w:val="22"/>
        </w:rPr>
        <w:t xml:space="preserve">and sent to Government Cost Compliance for review. </w:t>
      </w:r>
      <w:r w:rsidRPr="00ED1DCA">
        <w:rPr>
          <w:rFonts w:ascii="Arial" w:hAnsi="Arial" w:cs="Arial"/>
          <w:sz w:val="22"/>
          <w:szCs w:val="22"/>
        </w:rPr>
        <w:t>Government Cost Compliance</w:t>
      </w:r>
      <w:r>
        <w:rPr>
          <w:rFonts w:ascii="Arial" w:hAnsi="Arial" w:cs="Arial"/>
          <w:sz w:val="22"/>
          <w:szCs w:val="22"/>
        </w:rPr>
        <w:t xml:space="preserve"> </w:t>
      </w:r>
      <w:r w:rsidRPr="00ED1DCA">
        <w:rPr>
          <w:rFonts w:ascii="Arial" w:hAnsi="Arial" w:cs="Arial"/>
          <w:sz w:val="22"/>
          <w:szCs w:val="22"/>
        </w:rPr>
        <w:t>will review the questionnaire and assist Service Center management with preparing the questionnaire.</w:t>
      </w:r>
    </w:p>
    <w:p w14:paraId="2A729903" w14:textId="77777777" w:rsidR="00E407E8" w:rsidRDefault="00E407E8" w:rsidP="00E407E8">
      <w:pPr>
        <w:pStyle w:val="PlainText"/>
        <w:rPr>
          <w:rFonts w:ascii="Arial" w:hAnsi="Arial" w:cs="Arial"/>
          <w:sz w:val="22"/>
          <w:szCs w:val="22"/>
        </w:rPr>
      </w:pPr>
    </w:p>
    <w:p w14:paraId="0964DB44" w14:textId="77777777" w:rsidR="00E407E8" w:rsidRDefault="00E407E8" w:rsidP="00E407E8">
      <w:pPr>
        <w:pStyle w:val="PlainText"/>
        <w:rPr>
          <w:rFonts w:ascii="Arial" w:hAnsi="Arial" w:cs="Arial"/>
          <w:sz w:val="22"/>
          <w:szCs w:val="22"/>
        </w:rPr>
      </w:pPr>
      <w:r>
        <w:rPr>
          <w:rFonts w:ascii="Arial" w:hAnsi="Arial" w:cs="Arial"/>
          <w:sz w:val="22"/>
          <w:szCs w:val="22"/>
        </w:rPr>
        <w:t xml:space="preserve">The final questionnaire </w:t>
      </w:r>
      <w:r w:rsidR="007509EA">
        <w:rPr>
          <w:rFonts w:ascii="Arial" w:hAnsi="Arial" w:cs="Arial"/>
          <w:sz w:val="22"/>
          <w:szCs w:val="22"/>
        </w:rPr>
        <w:t xml:space="preserve">must </w:t>
      </w:r>
      <w:r>
        <w:rPr>
          <w:rFonts w:ascii="Arial" w:hAnsi="Arial" w:cs="Arial"/>
          <w:sz w:val="22"/>
          <w:szCs w:val="22"/>
        </w:rPr>
        <w:t>be submitted to the chair of the Recharge Council.</w:t>
      </w:r>
    </w:p>
    <w:p w14:paraId="7D3C64A4" w14:textId="77777777" w:rsidR="00E407E8" w:rsidRDefault="00E407E8" w:rsidP="00E407E8">
      <w:pPr>
        <w:pStyle w:val="PlainText"/>
        <w:rPr>
          <w:rFonts w:ascii="Arial" w:hAnsi="Arial" w:cs="Arial"/>
          <w:sz w:val="22"/>
          <w:szCs w:val="22"/>
        </w:rPr>
      </w:pPr>
    </w:p>
    <w:p w14:paraId="10EDD67A" w14:textId="77777777" w:rsidR="00013D14" w:rsidRDefault="00E407E8" w:rsidP="00013D14">
      <w:pPr>
        <w:pStyle w:val="PlainText"/>
        <w:rPr>
          <w:rFonts w:ascii="Arial" w:hAnsi="Arial" w:cs="Arial"/>
          <w:sz w:val="22"/>
          <w:szCs w:val="22"/>
        </w:rPr>
      </w:pPr>
      <w:r>
        <w:rPr>
          <w:rFonts w:ascii="Arial" w:hAnsi="Arial" w:cs="Arial"/>
          <w:sz w:val="22"/>
          <w:szCs w:val="22"/>
        </w:rPr>
        <w:t xml:space="preserve">The Service Center must present the final questionnaire to the Recharge Council for approval. Once the rates are </w:t>
      </w:r>
      <w:r w:rsidR="00357425">
        <w:rPr>
          <w:rFonts w:ascii="Arial" w:hAnsi="Arial" w:cs="Arial"/>
          <w:sz w:val="22"/>
          <w:szCs w:val="22"/>
        </w:rPr>
        <w:t>approved,</w:t>
      </w:r>
      <w:r>
        <w:rPr>
          <w:rFonts w:ascii="Arial" w:hAnsi="Arial" w:cs="Arial"/>
          <w:sz w:val="22"/>
          <w:szCs w:val="22"/>
        </w:rPr>
        <w:t xml:space="preserve"> a </w:t>
      </w:r>
      <w:r w:rsidR="00BF6F7E">
        <w:rPr>
          <w:rFonts w:ascii="Arial" w:hAnsi="Arial" w:cs="Arial"/>
          <w:sz w:val="22"/>
          <w:szCs w:val="22"/>
        </w:rPr>
        <w:t>rate approval letter</w:t>
      </w:r>
      <w:r>
        <w:rPr>
          <w:rFonts w:ascii="Arial" w:hAnsi="Arial" w:cs="Arial"/>
          <w:sz w:val="22"/>
          <w:szCs w:val="22"/>
        </w:rPr>
        <w:t xml:space="preserve"> will be sent to the Service Center. All approved rates are published on the Government Cost Compliance website.</w:t>
      </w:r>
    </w:p>
    <w:p w14:paraId="0F49B335" w14:textId="77777777" w:rsidR="00013D14" w:rsidRDefault="00013D14" w:rsidP="00013D14">
      <w:pPr>
        <w:pStyle w:val="PlainText"/>
        <w:rPr>
          <w:rFonts w:ascii="Arial" w:hAnsi="Arial" w:cs="Arial"/>
          <w:sz w:val="22"/>
          <w:szCs w:val="22"/>
        </w:rPr>
      </w:pPr>
    </w:p>
    <w:p w14:paraId="196CA42A" w14:textId="77777777" w:rsidR="00BF6F7E" w:rsidRDefault="00BF6F7E" w:rsidP="00013D14">
      <w:pPr>
        <w:pStyle w:val="PlainText"/>
        <w:rPr>
          <w:rFonts w:ascii="Arial" w:hAnsi="Arial" w:cs="Arial"/>
          <w:sz w:val="22"/>
          <w:szCs w:val="22"/>
        </w:rPr>
      </w:pPr>
    </w:p>
    <w:p w14:paraId="77E2A3AA" w14:textId="77777777" w:rsidR="002E240E" w:rsidRPr="002E240E" w:rsidRDefault="00C34D57" w:rsidP="00013D14">
      <w:pPr>
        <w:pStyle w:val="PlainText"/>
        <w:rPr>
          <w:rFonts w:ascii="Arial" w:hAnsi="Arial" w:cs="Arial"/>
          <w:b/>
          <w:sz w:val="24"/>
          <w:szCs w:val="24"/>
          <w:u w:val="single"/>
        </w:rPr>
      </w:pPr>
      <w:r>
        <w:rPr>
          <w:rFonts w:ascii="Arial" w:hAnsi="Arial" w:cs="Arial"/>
          <w:b/>
          <w:sz w:val="24"/>
          <w:szCs w:val="24"/>
          <w:u w:val="single"/>
        </w:rPr>
        <w:t>Annual Reviews of Financial Activity</w:t>
      </w:r>
    </w:p>
    <w:p w14:paraId="4CADAABE" w14:textId="77777777" w:rsidR="002E240E" w:rsidRDefault="002E240E" w:rsidP="004619DD">
      <w:pPr>
        <w:pStyle w:val="ListParagraph"/>
        <w:ind w:left="0"/>
        <w:rPr>
          <w:rFonts w:ascii="Arial" w:hAnsi="Arial" w:cs="Arial"/>
        </w:rPr>
      </w:pPr>
    </w:p>
    <w:p w14:paraId="3D7C09C6" w14:textId="77777777" w:rsidR="002E240E" w:rsidRDefault="004619DD" w:rsidP="004619DD">
      <w:pPr>
        <w:pStyle w:val="ListParagraph"/>
        <w:ind w:left="0"/>
        <w:rPr>
          <w:rFonts w:ascii="Arial" w:hAnsi="Arial" w:cs="Arial"/>
        </w:rPr>
      </w:pPr>
      <w:r>
        <w:rPr>
          <w:rFonts w:ascii="Arial" w:hAnsi="Arial" w:cs="Arial"/>
        </w:rPr>
        <w:t>Government Cost Compliance will regularly review Service Center fund balances, service center invoices, and actual document journal details for consistent application of Service Center policies.</w:t>
      </w:r>
      <w:r w:rsidR="00390A00" w:rsidRPr="00390A00">
        <w:rPr>
          <w:rFonts w:ascii="Arial" w:hAnsi="Arial" w:cs="Arial"/>
        </w:rPr>
        <w:t xml:space="preserve"> </w:t>
      </w:r>
    </w:p>
    <w:p w14:paraId="5A8FC719" w14:textId="77777777" w:rsidR="002E240E" w:rsidRDefault="002E240E" w:rsidP="004619DD">
      <w:pPr>
        <w:pStyle w:val="ListParagraph"/>
        <w:ind w:left="0"/>
        <w:rPr>
          <w:rFonts w:ascii="Arial" w:hAnsi="Arial" w:cs="Arial"/>
        </w:rPr>
      </w:pPr>
    </w:p>
    <w:p w14:paraId="58D5DF93" w14:textId="77777777" w:rsidR="004619DD" w:rsidRDefault="00BF6F7E" w:rsidP="004619DD">
      <w:pPr>
        <w:pStyle w:val="ListParagraph"/>
        <w:ind w:left="0"/>
        <w:rPr>
          <w:rFonts w:ascii="Arial" w:hAnsi="Arial" w:cs="Arial"/>
        </w:rPr>
      </w:pPr>
      <w:r>
        <w:rPr>
          <w:rFonts w:ascii="Arial" w:hAnsi="Arial" w:cs="Arial"/>
        </w:rPr>
        <w:t xml:space="preserve">Service Centers must provide documentation that support the billings and </w:t>
      </w:r>
      <w:r w:rsidR="00390A00">
        <w:rPr>
          <w:rFonts w:ascii="Arial" w:hAnsi="Arial" w:cs="Arial"/>
        </w:rPr>
        <w:t>oper</w:t>
      </w:r>
      <w:r>
        <w:rPr>
          <w:rFonts w:ascii="Arial" w:hAnsi="Arial" w:cs="Arial"/>
        </w:rPr>
        <w:t>ating expenses requested by Government Cost Compliance during the annual review.</w:t>
      </w:r>
    </w:p>
    <w:p w14:paraId="1FEEEDE9" w14:textId="77777777" w:rsidR="00C34D57" w:rsidRDefault="00C34D57" w:rsidP="00601927">
      <w:pPr>
        <w:pStyle w:val="PlainText"/>
        <w:rPr>
          <w:rFonts w:ascii="Arial" w:hAnsi="Arial" w:cs="Arial"/>
          <w:b/>
          <w:sz w:val="32"/>
          <w:szCs w:val="32"/>
        </w:rPr>
      </w:pPr>
    </w:p>
    <w:p w14:paraId="2C29BF84" w14:textId="77777777" w:rsidR="00D97A57" w:rsidRDefault="00D97A57" w:rsidP="00601927">
      <w:pPr>
        <w:pStyle w:val="PlainText"/>
        <w:rPr>
          <w:rFonts w:ascii="Arial" w:hAnsi="Arial" w:cs="Arial"/>
          <w:b/>
          <w:sz w:val="32"/>
          <w:szCs w:val="32"/>
        </w:rPr>
      </w:pPr>
    </w:p>
    <w:p w14:paraId="58A4E373" w14:textId="77777777" w:rsidR="00A33F3C" w:rsidRDefault="00A33F3C" w:rsidP="00601927">
      <w:pPr>
        <w:pStyle w:val="PlainText"/>
        <w:rPr>
          <w:rFonts w:ascii="Arial" w:hAnsi="Arial" w:cs="Arial"/>
          <w:b/>
          <w:sz w:val="32"/>
          <w:szCs w:val="32"/>
        </w:rPr>
      </w:pPr>
    </w:p>
    <w:p w14:paraId="48B68AF8" w14:textId="77777777" w:rsidR="007509EA" w:rsidRDefault="007509EA" w:rsidP="00601927">
      <w:pPr>
        <w:pStyle w:val="PlainText"/>
        <w:rPr>
          <w:rFonts w:ascii="Arial" w:hAnsi="Arial" w:cs="Arial"/>
          <w:b/>
          <w:sz w:val="32"/>
          <w:szCs w:val="32"/>
        </w:rPr>
      </w:pPr>
    </w:p>
    <w:p w14:paraId="1DFE1DEB" w14:textId="77777777" w:rsidR="007509EA" w:rsidRDefault="007509EA" w:rsidP="00601927">
      <w:pPr>
        <w:pStyle w:val="PlainText"/>
        <w:rPr>
          <w:rFonts w:ascii="Arial" w:hAnsi="Arial" w:cs="Arial"/>
          <w:b/>
          <w:sz w:val="32"/>
          <w:szCs w:val="32"/>
        </w:rPr>
      </w:pPr>
    </w:p>
    <w:p w14:paraId="38CE8156" w14:textId="77777777" w:rsidR="00D97A57" w:rsidRDefault="00D97A57" w:rsidP="00601927">
      <w:pPr>
        <w:pStyle w:val="PlainText"/>
        <w:rPr>
          <w:rFonts w:ascii="Arial" w:hAnsi="Arial" w:cs="Arial"/>
          <w:b/>
          <w:sz w:val="32"/>
          <w:szCs w:val="32"/>
        </w:rPr>
      </w:pPr>
    </w:p>
    <w:p w14:paraId="65448639" w14:textId="77777777" w:rsidR="007E1B0F" w:rsidRDefault="00390A00" w:rsidP="00601927">
      <w:pPr>
        <w:pStyle w:val="PlainText"/>
        <w:rPr>
          <w:rFonts w:ascii="Arial" w:hAnsi="Arial" w:cs="Arial"/>
          <w:b/>
          <w:sz w:val="32"/>
          <w:szCs w:val="32"/>
        </w:rPr>
      </w:pPr>
      <w:r>
        <w:rPr>
          <w:rFonts w:ascii="Arial" w:hAnsi="Arial" w:cs="Arial"/>
          <w:b/>
          <w:sz w:val="32"/>
          <w:szCs w:val="32"/>
        </w:rPr>
        <w:t>BUDGETING FOR SERVICE CENTERS</w:t>
      </w:r>
    </w:p>
    <w:p w14:paraId="10DE2B93" w14:textId="77777777" w:rsidR="00601927" w:rsidRDefault="00601927" w:rsidP="00601927">
      <w:pPr>
        <w:pStyle w:val="PlainText"/>
        <w:rPr>
          <w:rFonts w:ascii="Arial" w:hAnsi="Arial" w:cs="Arial"/>
          <w:b/>
          <w:sz w:val="32"/>
          <w:szCs w:val="32"/>
        </w:rPr>
      </w:pPr>
    </w:p>
    <w:p w14:paraId="363A6B56" w14:textId="186B95A9" w:rsidR="00096987" w:rsidRDefault="00096987" w:rsidP="00601927">
      <w:pPr>
        <w:pStyle w:val="ListParagraph"/>
        <w:ind w:left="0"/>
        <w:rPr>
          <w:rFonts w:ascii="Arial" w:hAnsi="Arial" w:cs="Arial"/>
        </w:rPr>
      </w:pPr>
      <w:r>
        <w:rPr>
          <w:rFonts w:ascii="Arial" w:hAnsi="Arial" w:cs="Arial"/>
        </w:rPr>
        <w:t>Service Centers must develop budgets where rates break</w:t>
      </w:r>
      <w:r w:rsidR="00433BB5">
        <w:rPr>
          <w:rFonts w:ascii="Arial" w:hAnsi="Arial" w:cs="Arial"/>
        </w:rPr>
        <w:t>-</w:t>
      </w:r>
      <w:r>
        <w:rPr>
          <w:rFonts w:ascii="Arial" w:hAnsi="Arial" w:cs="Arial"/>
        </w:rPr>
        <w:t xml:space="preserve">even; </w:t>
      </w:r>
      <w:r w:rsidR="001D13F1">
        <w:rPr>
          <w:rFonts w:ascii="Arial" w:hAnsi="Arial" w:cs="Arial"/>
        </w:rPr>
        <w:t xml:space="preserve">recovery </w:t>
      </w:r>
      <w:r>
        <w:rPr>
          <w:rFonts w:ascii="Arial" w:hAnsi="Arial" w:cs="Arial"/>
        </w:rPr>
        <w:t>will offset expenses over the budget period.</w:t>
      </w:r>
      <w:r w:rsidR="00390A00">
        <w:rPr>
          <w:rFonts w:ascii="Arial" w:hAnsi="Arial" w:cs="Arial"/>
        </w:rPr>
        <w:t xml:space="preserve"> </w:t>
      </w:r>
    </w:p>
    <w:p w14:paraId="7A34A046" w14:textId="77777777" w:rsidR="0009203D" w:rsidRDefault="0009203D" w:rsidP="00601927">
      <w:pPr>
        <w:pStyle w:val="ListParagraph"/>
        <w:ind w:left="0"/>
        <w:rPr>
          <w:rFonts w:ascii="Arial" w:hAnsi="Arial" w:cs="Arial"/>
        </w:rPr>
      </w:pPr>
    </w:p>
    <w:p w14:paraId="4FF59C0F" w14:textId="0E640C8A" w:rsidR="00601927" w:rsidRDefault="00601927" w:rsidP="00601927">
      <w:pPr>
        <w:pStyle w:val="ListParagraph"/>
        <w:ind w:left="0"/>
        <w:rPr>
          <w:rFonts w:ascii="Arial" w:hAnsi="Arial" w:cs="Arial"/>
        </w:rPr>
      </w:pPr>
      <w:r>
        <w:rPr>
          <w:rFonts w:ascii="Arial" w:hAnsi="Arial" w:cs="Arial"/>
        </w:rPr>
        <w:t xml:space="preserve">The </w:t>
      </w:r>
      <w:r w:rsidR="001D13F1">
        <w:rPr>
          <w:rFonts w:ascii="Arial" w:hAnsi="Arial" w:cs="Arial"/>
        </w:rPr>
        <w:t xml:space="preserve">recovery </w:t>
      </w:r>
      <w:r>
        <w:rPr>
          <w:rFonts w:ascii="Arial" w:hAnsi="Arial" w:cs="Arial"/>
        </w:rPr>
        <w:t xml:space="preserve">budget should be based on estimated volume of goods or services sold </w:t>
      </w:r>
      <w:r w:rsidR="000B1EBB">
        <w:rPr>
          <w:rFonts w:ascii="Arial" w:hAnsi="Arial" w:cs="Arial"/>
        </w:rPr>
        <w:t>multiplied by</w:t>
      </w:r>
      <w:r>
        <w:rPr>
          <w:rFonts w:ascii="Arial" w:hAnsi="Arial" w:cs="Arial"/>
        </w:rPr>
        <w:t xml:space="preserve"> the applicable rates. Considerations should include prior year performance, prior year subsidy levels, and future needs of all users when estimating </w:t>
      </w:r>
      <w:r w:rsidR="001D13F1">
        <w:rPr>
          <w:rFonts w:ascii="Arial" w:hAnsi="Arial" w:cs="Arial"/>
        </w:rPr>
        <w:t xml:space="preserve">recovery </w:t>
      </w:r>
      <w:r>
        <w:rPr>
          <w:rFonts w:ascii="Arial" w:hAnsi="Arial" w:cs="Arial"/>
        </w:rPr>
        <w:t>and usage levels.</w:t>
      </w:r>
    </w:p>
    <w:p w14:paraId="1C70C464" w14:textId="77777777" w:rsidR="00390A00" w:rsidRDefault="00390A00" w:rsidP="00601927">
      <w:pPr>
        <w:pStyle w:val="ListParagraph"/>
        <w:ind w:left="0"/>
        <w:rPr>
          <w:rFonts w:ascii="Arial" w:hAnsi="Arial" w:cs="Arial"/>
        </w:rPr>
      </w:pPr>
    </w:p>
    <w:p w14:paraId="2D2AFB1C" w14:textId="77777777" w:rsidR="00390A00" w:rsidRDefault="00F96D2C" w:rsidP="00601927">
      <w:pPr>
        <w:pStyle w:val="ListParagraph"/>
        <w:ind w:left="0"/>
        <w:rPr>
          <w:rFonts w:ascii="Arial" w:hAnsi="Arial" w:cs="Arial"/>
        </w:rPr>
      </w:pPr>
      <w:r>
        <w:rPr>
          <w:rFonts w:ascii="Arial" w:hAnsi="Arial" w:cs="Arial"/>
        </w:rPr>
        <w:t>Lump sum subsidies</w:t>
      </w:r>
      <w:r w:rsidR="00390A00">
        <w:rPr>
          <w:rFonts w:ascii="Arial" w:hAnsi="Arial" w:cs="Arial"/>
        </w:rPr>
        <w:t xml:space="preserve"> should be included in the budget. </w:t>
      </w:r>
    </w:p>
    <w:p w14:paraId="64F01F49" w14:textId="77777777" w:rsidR="0009203D" w:rsidRDefault="0009203D" w:rsidP="00601927">
      <w:pPr>
        <w:pStyle w:val="ListParagraph"/>
        <w:ind w:left="0"/>
        <w:rPr>
          <w:rFonts w:ascii="Arial" w:hAnsi="Arial" w:cs="Arial"/>
        </w:rPr>
      </w:pPr>
    </w:p>
    <w:p w14:paraId="6AED239C" w14:textId="77777777" w:rsidR="005C394E" w:rsidRDefault="00601927" w:rsidP="00601927">
      <w:pPr>
        <w:pStyle w:val="ListParagraph"/>
        <w:ind w:left="0"/>
        <w:rPr>
          <w:rFonts w:ascii="Arial" w:hAnsi="Arial" w:cs="Arial"/>
        </w:rPr>
      </w:pPr>
      <w:r>
        <w:rPr>
          <w:rFonts w:ascii="Arial" w:hAnsi="Arial" w:cs="Arial"/>
        </w:rPr>
        <w:t xml:space="preserve">Expense </w:t>
      </w:r>
      <w:r w:rsidR="00096987">
        <w:rPr>
          <w:rFonts w:ascii="Arial" w:hAnsi="Arial" w:cs="Arial"/>
        </w:rPr>
        <w:t>bu</w:t>
      </w:r>
      <w:r>
        <w:rPr>
          <w:rFonts w:ascii="Arial" w:hAnsi="Arial" w:cs="Arial"/>
        </w:rPr>
        <w:t>dgets should include</w:t>
      </w:r>
      <w:r w:rsidRPr="006B4F19">
        <w:rPr>
          <w:rFonts w:ascii="Arial" w:hAnsi="Arial" w:cs="Arial"/>
          <w:i/>
        </w:rPr>
        <w:t xml:space="preserve"> </w:t>
      </w:r>
      <w:r w:rsidRPr="006B4F19">
        <w:rPr>
          <w:rFonts w:ascii="Arial" w:hAnsi="Arial" w:cs="Arial"/>
          <w:i/>
          <w:u w:val="single"/>
        </w:rPr>
        <w:t>all</w:t>
      </w:r>
      <w:r>
        <w:rPr>
          <w:rFonts w:ascii="Arial" w:hAnsi="Arial" w:cs="Arial"/>
        </w:rPr>
        <w:t xml:space="preserve"> allowable direct costs f</w:t>
      </w:r>
      <w:r w:rsidR="005C394E">
        <w:rPr>
          <w:rFonts w:ascii="Arial" w:hAnsi="Arial" w:cs="Arial"/>
        </w:rPr>
        <w:t>or operating the Service Center including administrative expense directly associated with the operations of the Service Center.</w:t>
      </w:r>
    </w:p>
    <w:p w14:paraId="267C0DB0" w14:textId="77777777" w:rsidR="00C84083" w:rsidRDefault="00C84083" w:rsidP="00682AA1">
      <w:pPr>
        <w:rPr>
          <w:rFonts w:ascii="Arial" w:hAnsi="Arial" w:cs="Arial"/>
        </w:rPr>
      </w:pPr>
    </w:p>
    <w:p w14:paraId="0025CFB7" w14:textId="77777777" w:rsidR="005C394E" w:rsidRPr="00682AA1" w:rsidRDefault="005C394E" w:rsidP="00682AA1">
      <w:pPr>
        <w:rPr>
          <w:rFonts w:ascii="Arial" w:hAnsi="Arial" w:cs="Arial"/>
        </w:rPr>
      </w:pPr>
      <w:r w:rsidRPr="00682AA1">
        <w:rPr>
          <w:rFonts w:ascii="Arial" w:hAnsi="Arial" w:cs="Arial"/>
        </w:rPr>
        <w:t>Allowable Direct Expense Categories include:</w:t>
      </w:r>
    </w:p>
    <w:p w14:paraId="459E4A7D" w14:textId="77777777" w:rsidR="005C394E" w:rsidRDefault="005C394E" w:rsidP="005C394E">
      <w:pPr>
        <w:pStyle w:val="ListParagraph"/>
        <w:numPr>
          <w:ilvl w:val="0"/>
          <w:numId w:val="7"/>
        </w:numPr>
        <w:rPr>
          <w:rFonts w:ascii="Arial" w:hAnsi="Arial" w:cs="Arial"/>
        </w:rPr>
      </w:pPr>
      <w:r>
        <w:rPr>
          <w:rFonts w:ascii="Arial" w:hAnsi="Arial" w:cs="Arial"/>
        </w:rPr>
        <w:t>Salaries and fringe benefits</w:t>
      </w:r>
    </w:p>
    <w:p w14:paraId="649C814A" w14:textId="77777777" w:rsidR="00484D76" w:rsidRDefault="00484D76" w:rsidP="00484D76">
      <w:pPr>
        <w:pStyle w:val="ListParagraph"/>
        <w:numPr>
          <w:ilvl w:val="1"/>
          <w:numId w:val="7"/>
        </w:numPr>
        <w:rPr>
          <w:rFonts w:ascii="Arial" w:hAnsi="Arial" w:cs="Arial"/>
        </w:rPr>
      </w:pPr>
      <w:r>
        <w:rPr>
          <w:rFonts w:ascii="Arial" w:hAnsi="Arial" w:cs="Arial"/>
        </w:rPr>
        <w:t xml:space="preserve">The costs of salaries, wages, and fringe benefits of personnel directly involved with (i.e. devoting effort to) service center </w:t>
      </w:r>
      <w:r w:rsidR="00BD1FCA">
        <w:rPr>
          <w:rFonts w:ascii="Arial" w:hAnsi="Arial" w:cs="Arial"/>
        </w:rPr>
        <w:t>actives</w:t>
      </w:r>
      <w:r>
        <w:rPr>
          <w:rFonts w:ascii="Arial" w:hAnsi="Arial" w:cs="Arial"/>
        </w:rPr>
        <w:t xml:space="preserve"> are allowable.</w:t>
      </w:r>
    </w:p>
    <w:p w14:paraId="6318E0FA" w14:textId="77777777" w:rsidR="005C394E" w:rsidRDefault="00682AA1" w:rsidP="005C394E">
      <w:pPr>
        <w:pStyle w:val="ListParagraph"/>
        <w:numPr>
          <w:ilvl w:val="0"/>
          <w:numId w:val="7"/>
        </w:numPr>
        <w:rPr>
          <w:rFonts w:ascii="Arial" w:hAnsi="Arial" w:cs="Arial"/>
        </w:rPr>
      </w:pPr>
      <w:r>
        <w:rPr>
          <w:rFonts w:ascii="Arial" w:hAnsi="Arial" w:cs="Arial"/>
        </w:rPr>
        <w:t>Material</w:t>
      </w:r>
      <w:r w:rsidR="00DD0F09">
        <w:rPr>
          <w:rFonts w:ascii="Arial" w:hAnsi="Arial" w:cs="Arial"/>
        </w:rPr>
        <w:t>s, services, and supplies</w:t>
      </w:r>
    </w:p>
    <w:p w14:paraId="4C7BC2A4" w14:textId="77777777" w:rsidR="00484D76" w:rsidRDefault="00BD1FCA" w:rsidP="00484D76">
      <w:pPr>
        <w:pStyle w:val="ListParagraph"/>
        <w:numPr>
          <w:ilvl w:val="1"/>
          <w:numId w:val="7"/>
        </w:numPr>
        <w:rPr>
          <w:rFonts w:ascii="Arial" w:hAnsi="Arial" w:cs="Arial"/>
        </w:rPr>
      </w:pPr>
      <w:r>
        <w:rPr>
          <w:rFonts w:ascii="Arial" w:hAnsi="Arial" w:cs="Arial"/>
        </w:rPr>
        <w:t>Materials</w:t>
      </w:r>
      <w:r w:rsidR="00484D76">
        <w:rPr>
          <w:rFonts w:ascii="Arial" w:hAnsi="Arial" w:cs="Arial"/>
        </w:rPr>
        <w:t>, services and supplies necessary to carry on the business of the Service Center are allowable.</w:t>
      </w:r>
    </w:p>
    <w:p w14:paraId="42E6F607" w14:textId="77777777" w:rsidR="00BD1FCA" w:rsidRDefault="00BD1FCA" w:rsidP="00BD1FCA">
      <w:pPr>
        <w:pStyle w:val="ListParagraph"/>
        <w:numPr>
          <w:ilvl w:val="0"/>
          <w:numId w:val="7"/>
        </w:numPr>
        <w:rPr>
          <w:rFonts w:ascii="Arial" w:hAnsi="Arial" w:cs="Arial"/>
        </w:rPr>
      </w:pPr>
      <w:r>
        <w:rPr>
          <w:rFonts w:ascii="Arial" w:hAnsi="Arial" w:cs="Arial"/>
        </w:rPr>
        <w:t>Non-capital equipment</w:t>
      </w:r>
    </w:p>
    <w:p w14:paraId="31794C53" w14:textId="77777777" w:rsidR="00BD1FCA" w:rsidRDefault="00BD1FCA" w:rsidP="00BD1FCA">
      <w:pPr>
        <w:pStyle w:val="ListParagraph"/>
        <w:numPr>
          <w:ilvl w:val="1"/>
          <w:numId w:val="7"/>
        </w:numPr>
        <w:rPr>
          <w:rFonts w:ascii="Arial" w:hAnsi="Arial" w:cs="Arial"/>
        </w:rPr>
      </w:pPr>
      <w:r>
        <w:rPr>
          <w:rFonts w:ascii="Arial" w:hAnsi="Arial" w:cs="Arial"/>
        </w:rPr>
        <w:t>Non-capital equipment is allowable. The cost of the equipment must be less than $5,000 and a useful life less than one year.</w:t>
      </w:r>
    </w:p>
    <w:p w14:paraId="1571E791" w14:textId="77777777" w:rsidR="005C394E" w:rsidRDefault="005C394E" w:rsidP="005C394E">
      <w:pPr>
        <w:pStyle w:val="ListParagraph"/>
        <w:numPr>
          <w:ilvl w:val="0"/>
          <w:numId w:val="7"/>
        </w:numPr>
        <w:rPr>
          <w:rFonts w:ascii="Arial" w:hAnsi="Arial" w:cs="Arial"/>
        </w:rPr>
      </w:pPr>
      <w:r>
        <w:rPr>
          <w:rFonts w:ascii="Arial" w:hAnsi="Arial" w:cs="Arial"/>
        </w:rPr>
        <w:t>Equipment depreciation</w:t>
      </w:r>
    </w:p>
    <w:p w14:paraId="4DCD703B" w14:textId="77777777" w:rsidR="00484D76" w:rsidRDefault="00484D76" w:rsidP="00484D76">
      <w:pPr>
        <w:pStyle w:val="ListParagraph"/>
        <w:numPr>
          <w:ilvl w:val="1"/>
          <w:numId w:val="7"/>
        </w:numPr>
        <w:rPr>
          <w:rFonts w:ascii="Arial" w:hAnsi="Arial" w:cs="Arial"/>
        </w:rPr>
      </w:pPr>
      <w:r>
        <w:rPr>
          <w:rFonts w:ascii="Arial" w:hAnsi="Arial" w:cs="Arial"/>
        </w:rPr>
        <w:t>If equipment is depreciated, it should be shown in the rate proposals. The amount of depreciation as calculated by the University are allowable</w:t>
      </w:r>
    </w:p>
    <w:p w14:paraId="5D575702" w14:textId="77777777" w:rsidR="00484D76" w:rsidRDefault="00BD1FCA" w:rsidP="005C394E">
      <w:pPr>
        <w:pStyle w:val="ListParagraph"/>
        <w:numPr>
          <w:ilvl w:val="0"/>
          <w:numId w:val="7"/>
        </w:numPr>
        <w:rPr>
          <w:rFonts w:ascii="Arial" w:hAnsi="Arial" w:cs="Arial"/>
        </w:rPr>
      </w:pPr>
      <w:r>
        <w:rPr>
          <w:rFonts w:ascii="Arial" w:hAnsi="Arial" w:cs="Arial"/>
        </w:rPr>
        <w:t>T</w:t>
      </w:r>
      <w:r w:rsidR="005C394E">
        <w:rPr>
          <w:rFonts w:ascii="Arial" w:hAnsi="Arial" w:cs="Arial"/>
        </w:rPr>
        <w:t>ravel &amp; conferences</w:t>
      </w:r>
    </w:p>
    <w:p w14:paraId="7AB1BDD1" w14:textId="77777777" w:rsidR="005C394E" w:rsidRDefault="00484D76" w:rsidP="00484D76">
      <w:pPr>
        <w:pStyle w:val="ListParagraph"/>
        <w:numPr>
          <w:ilvl w:val="1"/>
          <w:numId w:val="7"/>
        </w:numPr>
        <w:rPr>
          <w:rFonts w:ascii="Arial" w:hAnsi="Arial" w:cs="Arial"/>
        </w:rPr>
      </w:pPr>
      <w:r>
        <w:rPr>
          <w:rFonts w:ascii="Arial" w:hAnsi="Arial" w:cs="Arial"/>
        </w:rPr>
        <w:t xml:space="preserve"> The costs of travel related directly to and necessary for the operation of the Service Center (</w:t>
      </w:r>
      <w:r w:rsidR="00BD1FCA">
        <w:rPr>
          <w:rFonts w:ascii="Arial" w:hAnsi="Arial" w:cs="Arial"/>
        </w:rPr>
        <w:t>i.e.</w:t>
      </w:r>
      <w:r>
        <w:rPr>
          <w:rFonts w:ascii="Arial" w:hAnsi="Arial" w:cs="Arial"/>
        </w:rPr>
        <w:t xml:space="preserve"> conferences, meetings, local travel) are allowable.</w:t>
      </w:r>
    </w:p>
    <w:p w14:paraId="0FCBEFD1" w14:textId="77777777" w:rsidR="00484D76" w:rsidRDefault="00484D76" w:rsidP="00484D76">
      <w:pPr>
        <w:pStyle w:val="ListParagraph"/>
        <w:numPr>
          <w:ilvl w:val="1"/>
          <w:numId w:val="7"/>
        </w:numPr>
        <w:rPr>
          <w:rFonts w:ascii="Arial" w:hAnsi="Arial" w:cs="Arial"/>
        </w:rPr>
      </w:pPr>
      <w:r>
        <w:rPr>
          <w:rFonts w:ascii="Arial" w:hAnsi="Arial" w:cs="Arial"/>
        </w:rPr>
        <w:t xml:space="preserve">Travel expense must comply with the </w:t>
      </w:r>
      <w:hyperlink r:id="rId17" w:history="1">
        <w:r w:rsidRPr="00484D76">
          <w:rPr>
            <w:rStyle w:val="Hyperlink"/>
            <w:rFonts w:ascii="Arial" w:hAnsi="Arial" w:cs="Arial"/>
          </w:rPr>
          <w:t>University’s travel policy (2.1.6)</w:t>
        </w:r>
      </w:hyperlink>
    </w:p>
    <w:p w14:paraId="1DBBE631" w14:textId="77777777" w:rsidR="005C394E" w:rsidRDefault="005C394E" w:rsidP="005C394E">
      <w:pPr>
        <w:pStyle w:val="ListParagraph"/>
        <w:numPr>
          <w:ilvl w:val="0"/>
          <w:numId w:val="7"/>
        </w:numPr>
        <w:rPr>
          <w:rFonts w:ascii="Arial" w:hAnsi="Arial" w:cs="Arial"/>
        </w:rPr>
      </w:pPr>
      <w:r>
        <w:rPr>
          <w:rFonts w:ascii="Arial" w:hAnsi="Arial" w:cs="Arial"/>
        </w:rPr>
        <w:t>Other direct costs</w:t>
      </w:r>
    </w:p>
    <w:p w14:paraId="4C7AA14B" w14:textId="77777777" w:rsidR="00DD0F09" w:rsidRDefault="00DD0F09" w:rsidP="00DD0F09">
      <w:pPr>
        <w:pStyle w:val="ListParagraph"/>
        <w:numPr>
          <w:ilvl w:val="1"/>
          <w:numId w:val="7"/>
        </w:numPr>
        <w:rPr>
          <w:rFonts w:ascii="Arial" w:hAnsi="Arial" w:cs="Arial"/>
        </w:rPr>
      </w:pPr>
      <w:r>
        <w:rPr>
          <w:rFonts w:ascii="Arial" w:hAnsi="Arial" w:cs="Arial"/>
        </w:rPr>
        <w:t xml:space="preserve">Other directs costs not </w:t>
      </w:r>
      <w:r w:rsidR="00BD1FCA">
        <w:rPr>
          <w:rFonts w:ascii="Arial" w:hAnsi="Arial" w:cs="Arial"/>
        </w:rPr>
        <w:t>identified</w:t>
      </w:r>
      <w:r>
        <w:rPr>
          <w:rFonts w:ascii="Arial" w:hAnsi="Arial" w:cs="Arial"/>
        </w:rPr>
        <w:t xml:space="preserve"> above are allowable to the extent that they relate directly to and are necessary for the operation of the Service Center and are not specifically unallowable by the </w:t>
      </w:r>
      <w:hyperlink r:id="rId18" w:anchor="sg2.1.200_1419.sg16" w:history="1">
        <w:r w:rsidRPr="00DD0F09">
          <w:rPr>
            <w:rStyle w:val="Hyperlink"/>
            <w:rFonts w:ascii="Arial" w:hAnsi="Arial" w:cs="Arial"/>
          </w:rPr>
          <w:t>Code of Federal Regulations</w:t>
        </w:r>
      </w:hyperlink>
    </w:p>
    <w:p w14:paraId="178A9CA1" w14:textId="77777777" w:rsidR="00A82F29" w:rsidRDefault="00A82F29" w:rsidP="00A82F29">
      <w:pPr>
        <w:pStyle w:val="ListParagraph"/>
        <w:numPr>
          <w:ilvl w:val="0"/>
          <w:numId w:val="7"/>
        </w:numPr>
        <w:rPr>
          <w:rFonts w:ascii="Arial" w:hAnsi="Arial" w:cs="Arial"/>
        </w:rPr>
      </w:pPr>
      <w:r>
        <w:rPr>
          <w:rFonts w:ascii="Arial" w:hAnsi="Arial" w:cs="Arial"/>
        </w:rPr>
        <w:t>Indirect costs (University Service Centers Only)</w:t>
      </w:r>
    </w:p>
    <w:p w14:paraId="3BA792EC" w14:textId="77777777" w:rsidR="00EA5D42" w:rsidRDefault="00A82F29" w:rsidP="00C314B6">
      <w:pPr>
        <w:pStyle w:val="ListParagraph"/>
        <w:numPr>
          <w:ilvl w:val="1"/>
          <w:numId w:val="7"/>
        </w:numPr>
        <w:rPr>
          <w:rFonts w:ascii="Arial" w:hAnsi="Arial" w:cs="Arial"/>
        </w:rPr>
      </w:pPr>
      <w:r w:rsidRPr="00EA5D42">
        <w:rPr>
          <w:rFonts w:ascii="Arial" w:hAnsi="Arial" w:cs="Arial"/>
        </w:rPr>
        <w:t>Internal University Overhead are allowable for University Service Centers</w:t>
      </w:r>
    </w:p>
    <w:p w14:paraId="26BC37AF" w14:textId="77777777" w:rsidR="00C84083" w:rsidRDefault="00C84083" w:rsidP="00EA5D42">
      <w:pPr>
        <w:rPr>
          <w:rFonts w:ascii="Arial" w:hAnsi="Arial" w:cs="Arial"/>
        </w:rPr>
      </w:pPr>
    </w:p>
    <w:p w14:paraId="1DB10726" w14:textId="77777777" w:rsidR="00C84083" w:rsidRDefault="00C84083" w:rsidP="00EA5D42">
      <w:pPr>
        <w:rPr>
          <w:rFonts w:ascii="Arial" w:hAnsi="Arial" w:cs="Arial"/>
        </w:rPr>
      </w:pPr>
    </w:p>
    <w:p w14:paraId="2B6BF6BA" w14:textId="77777777" w:rsidR="00C84083" w:rsidRDefault="00C84083" w:rsidP="00EA5D42">
      <w:pPr>
        <w:rPr>
          <w:rFonts w:ascii="Arial" w:hAnsi="Arial" w:cs="Arial"/>
        </w:rPr>
      </w:pPr>
    </w:p>
    <w:p w14:paraId="67E500B4" w14:textId="77777777" w:rsidR="00C84083" w:rsidRDefault="00C84083" w:rsidP="00EA5D42">
      <w:pPr>
        <w:rPr>
          <w:rFonts w:ascii="Arial" w:hAnsi="Arial" w:cs="Arial"/>
        </w:rPr>
      </w:pPr>
    </w:p>
    <w:p w14:paraId="5758F000" w14:textId="04451ADD" w:rsidR="004619DD" w:rsidRPr="00EA5D42" w:rsidRDefault="004619DD" w:rsidP="00EA5D42">
      <w:pPr>
        <w:rPr>
          <w:rFonts w:ascii="Arial" w:hAnsi="Arial" w:cs="Arial"/>
        </w:rPr>
      </w:pPr>
      <w:r w:rsidRPr="00EA5D42">
        <w:rPr>
          <w:rFonts w:ascii="Arial" w:hAnsi="Arial" w:cs="Arial"/>
        </w:rPr>
        <w:t xml:space="preserve">Unallowable </w:t>
      </w:r>
      <w:r w:rsidR="007367A3">
        <w:rPr>
          <w:rFonts w:ascii="Arial" w:hAnsi="Arial" w:cs="Arial"/>
        </w:rPr>
        <w:t>expenses</w:t>
      </w:r>
      <w:r w:rsidR="007367A3" w:rsidRPr="00EA5D42">
        <w:rPr>
          <w:rFonts w:ascii="Arial" w:hAnsi="Arial" w:cs="Arial"/>
        </w:rPr>
        <w:t xml:space="preserve"> </w:t>
      </w:r>
      <w:r w:rsidRPr="00EA5D42">
        <w:rPr>
          <w:rFonts w:ascii="Arial" w:hAnsi="Arial" w:cs="Arial"/>
        </w:rPr>
        <w:t xml:space="preserve">may be included in the budget but must be excluded from the federal user rate. </w:t>
      </w:r>
      <w:r w:rsidR="007367A3">
        <w:rPr>
          <w:rFonts w:ascii="Arial" w:hAnsi="Arial" w:cs="Arial"/>
        </w:rPr>
        <w:t xml:space="preserve">All expenses must also be </w:t>
      </w:r>
      <w:r w:rsidR="007509EA">
        <w:rPr>
          <w:rFonts w:ascii="Arial" w:hAnsi="Arial" w:cs="Arial"/>
        </w:rPr>
        <w:t xml:space="preserve">allowable under University policy. </w:t>
      </w:r>
      <w:r w:rsidRPr="00EA5D42">
        <w:rPr>
          <w:rFonts w:ascii="Arial" w:hAnsi="Arial" w:cs="Arial"/>
        </w:rPr>
        <w:t xml:space="preserve">For a complete list </w:t>
      </w:r>
      <w:r w:rsidR="00DD0F09" w:rsidRPr="00EA5D42">
        <w:rPr>
          <w:rFonts w:ascii="Arial" w:hAnsi="Arial" w:cs="Arial"/>
        </w:rPr>
        <w:t xml:space="preserve">of </w:t>
      </w:r>
      <w:r w:rsidR="007367A3">
        <w:rPr>
          <w:rFonts w:ascii="Arial" w:hAnsi="Arial" w:cs="Arial"/>
        </w:rPr>
        <w:t xml:space="preserve">federal </w:t>
      </w:r>
      <w:r w:rsidR="00DD0F09" w:rsidRPr="00EA5D42">
        <w:rPr>
          <w:rFonts w:ascii="Arial" w:hAnsi="Arial" w:cs="Arial"/>
        </w:rPr>
        <w:t xml:space="preserve">unallowable </w:t>
      </w:r>
      <w:r w:rsidR="00357425" w:rsidRPr="00EA5D42">
        <w:rPr>
          <w:rFonts w:ascii="Arial" w:hAnsi="Arial" w:cs="Arial"/>
        </w:rPr>
        <w:t>expense</w:t>
      </w:r>
      <w:r w:rsidR="00357425">
        <w:rPr>
          <w:rFonts w:ascii="Arial" w:hAnsi="Arial" w:cs="Arial"/>
        </w:rPr>
        <w:t>s,</w:t>
      </w:r>
      <w:r w:rsidR="00DD0F09" w:rsidRPr="00EA5D42">
        <w:rPr>
          <w:rFonts w:ascii="Arial" w:hAnsi="Arial" w:cs="Arial"/>
        </w:rPr>
        <w:t xml:space="preserve"> </w:t>
      </w:r>
      <w:r w:rsidRPr="00EA5D42">
        <w:rPr>
          <w:rFonts w:ascii="Arial" w:hAnsi="Arial" w:cs="Arial"/>
        </w:rPr>
        <w:t xml:space="preserve">refer to </w:t>
      </w:r>
      <w:hyperlink r:id="rId19" w:anchor="sg2.1.200_1419.sg16" w:history="1">
        <w:r w:rsidRPr="00EA5D42">
          <w:rPr>
            <w:rStyle w:val="Hyperlink"/>
            <w:rFonts w:ascii="Arial" w:hAnsi="Arial" w:cs="Arial"/>
          </w:rPr>
          <w:t>Subpart E of the Uniform Guidance</w:t>
        </w:r>
      </w:hyperlink>
      <w:r w:rsidRPr="00EA5D42">
        <w:rPr>
          <w:rFonts w:ascii="Arial" w:hAnsi="Arial" w:cs="Arial"/>
        </w:rPr>
        <w:t>.</w:t>
      </w:r>
      <w:r w:rsidR="007367A3">
        <w:rPr>
          <w:rFonts w:ascii="Arial" w:hAnsi="Arial" w:cs="Arial"/>
        </w:rPr>
        <w:t xml:space="preserve"> Refer to </w:t>
      </w:r>
      <w:hyperlink r:id="rId20" w:history="1">
        <w:r w:rsidR="007367A3" w:rsidRPr="007367A3">
          <w:rPr>
            <w:rStyle w:val="Hyperlink"/>
            <w:rFonts w:ascii="Arial" w:hAnsi="Arial" w:cs="Arial"/>
          </w:rPr>
          <w:t>University</w:t>
        </w:r>
        <w:r w:rsidR="00A313D5">
          <w:rPr>
            <w:rStyle w:val="Hyperlink"/>
            <w:rFonts w:ascii="Arial" w:hAnsi="Arial" w:cs="Arial"/>
          </w:rPr>
          <w:t xml:space="preserve"> Financial</w:t>
        </w:r>
        <w:r w:rsidR="007367A3" w:rsidRPr="007367A3">
          <w:rPr>
            <w:rStyle w:val="Hyperlink"/>
            <w:rFonts w:ascii="Arial" w:hAnsi="Arial" w:cs="Arial"/>
          </w:rPr>
          <w:t xml:space="preserve"> Policies</w:t>
        </w:r>
      </w:hyperlink>
      <w:r w:rsidR="007367A3">
        <w:rPr>
          <w:rFonts w:ascii="Arial" w:hAnsi="Arial" w:cs="Arial"/>
        </w:rPr>
        <w:t xml:space="preserve"> for </w:t>
      </w:r>
      <w:r w:rsidR="00A313D5">
        <w:rPr>
          <w:rFonts w:ascii="Arial" w:hAnsi="Arial" w:cs="Arial"/>
        </w:rPr>
        <w:t xml:space="preserve">the </w:t>
      </w:r>
      <w:r w:rsidR="00433BB5">
        <w:rPr>
          <w:rFonts w:ascii="Arial" w:hAnsi="Arial" w:cs="Arial"/>
        </w:rPr>
        <w:t>allowability</w:t>
      </w:r>
      <w:r w:rsidR="00A313D5">
        <w:rPr>
          <w:rFonts w:ascii="Arial" w:hAnsi="Arial" w:cs="Arial"/>
        </w:rPr>
        <w:t xml:space="preserve"> of expenses.</w:t>
      </w:r>
    </w:p>
    <w:p w14:paraId="09FC1E73" w14:textId="77777777" w:rsidR="004619DD" w:rsidRDefault="004619DD" w:rsidP="004619DD">
      <w:pPr>
        <w:pStyle w:val="ListParagraph"/>
        <w:ind w:left="0"/>
        <w:rPr>
          <w:rFonts w:ascii="Arial" w:hAnsi="Arial" w:cs="Arial"/>
        </w:rPr>
      </w:pPr>
      <w:r>
        <w:rPr>
          <w:rFonts w:ascii="Arial" w:hAnsi="Arial" w:cs="Arial"/>
        </w:rPr>
        <w:t>Unallowable Expenses Categories include</w:t>
      </w:r>
      <w:r w:rsidR="000B1EBB">
        <w:rPr>
          <w:rFonts w:ascii="Arial" w:hAnsi="Arial" w:cs="Arial"/>
        </w:rPr>
        <w:t xml:space="preserve"> but </w:t>
      </w:r>
      <w:r w:rsidR="001F3420">
        <w:rPr>
          <w:rFonts w:ascii="Arial" w:hAnsi="Arial" w:cs="Arial"/>
        </w:rPr>
        <w:t xml:space="preserve">are </w:t>
      </w:r>
      <w:r w:rsidR="000B1EBB">
        <w:rPr>
          <w:rFonts w:ascii="Arial" w:hAnsi="Arial" w:cs="Arial"/>
        </w:rPr>
        <w:t>not limited to the following</w:t>
      </w:r>
      <w:r>
        <w:rPr>
          <w:rFonts w:ascii="Arial" w:hAnsi="Arial" w:cs="Arial"/>
        </w:rPr>
        <w:t>:</w:t>
      </w:r>
    </w:p>
    <w:p w14:paraId="2828CB37" w14:textId="77777777" w:rsidR="004619DD" w:rsidRDefault="004619DD" w:rsidP="004619DD">
      <w:pPr>
        <w:pStyle w:val="ListParagraph"/>
        <w:numPr>
          <w:ilvl w:val="0"/>
          <w:numId w:val="8"/>
        </w:numPr>
        <w:rPr>
          <w:rFonts w:ascii="Arial" w:hAnsi="Arial" w:cs="Arial"/>
        </w:rPr>
      </w:pPr>
      <w:r>
        <w:rPr>
          <w:rFonts w:ascii="Arial" w:hAnsi="Arial" w:cs="Arial"/>
        </w:rPr>
        <w:t>Alcoholic beverages</w:t>
      </w:r>
    </w:p>
    <w:p w14:paraId="4008C19D" w14:textId="77777777" w:rsidR="004619DD" w:rsidRDefault="004619DD" w:rsidP="004619DD">
      <w:pPr>
        <w:pStyle w:val="ListParagraph"/>
        <w:numPr>
          <w:ilvl w:val="0"/>
          <w:numId w:val="8"/>
        </w:numPr>
        <w:rPr>
          <w:rFonts w:ascii="Arial" w:hAnsi="Arial" w:cs="Arial"/>
        </w:rPr>
      </w:pPr>
      <w:r>
        <w:rPr>
          <w:rFonts w:ascii="Arial" w:hAnsi="Arial" w:cs="Arial"/>
        </w:rPr>
        <w:t>Bad Debt</w:t>
      </w:r>
    </w:p>
    <w:p w14:paraId="2AF88C90" w14:textId="77777777" w:rsidR="004619DD" w:rsidRDefault="004619DD" w:rsidP="004619DD">
      <w:pPr>
        <w:pStyle w:val="ListParagraph"/>
        <w:numPr>
          <w:ilvl w:val="0"/>
          <w:numId w:val="8"/>
        </w:numPr>
        <w:rPr>
          <w:rFonts w:ascii="Arial" w:hAnsi="Arial" w:cs="Arial"/>
        </w:rPr>
      </w:pPr>
      <w:r>
        <w:rPr>
          <w:rFonts w:ascii="Arial" w:hAnsi="Arial" w:cs="Arial"/>
        </w:rPr>
        <w:t>Capital Equipment Purchases</w:t>
      </w:r>
    </w:p>
    <w:p w14:paraId="1C3532B4" w14:textId="77777777" w:rsidR="004619DD" w:rsidRDefault="004619DD" w:rsidP="004619DD">
      <w:pPr>
        <w:pStyle w:val="ListParagraph"/>
        <w:numPr>
          <w:ilvl w:val="0"/>
          <w:numId w:val="8"/>
        </w:numPr>
        <w:rPr>
          <w:rFonts w:ascii="Arial" w:hAnsi="Arial" w:cs="Arial"/>
        </w:rPr>
      </w:pPr>
      <w:r>
        <w:rPr>
          <w:rFonts w:ascii="Arial" w:hAnsi="Arial" w:cs="Arial"/>
        </w:rPr>
        <w:t>Donations and Contributions</w:t>
      </w:r>
    </w:p>
    <w:p w14:paraId="3FE6D452" w14:textId="77777777" w:rsidR="004619DD" w:rsidRDefault="004619DD" w:rsidP="004619DD">
      <w:pPr>
        <w:pStyle w:val="ListParagraph"/>
        <w:numPr>
          <w:ilvl w:val="0"/>
          <w:numId w:val="8"/>
        </w:numPr>
        <w:rPr>
          <w:rFonts w:ascii="Arial" w:hAnsi="Arial" w:cs="Arial"/>
        </w:rPr>
      </w:pPr>
      <w:r>
        <w:rPr>
          <w:rFonts w:ascii="Arial" w:hAnsi="Arial" w:cs="Arial"/>
        </w:rPr>
        <w:t>Entertainment</w:t>
      </w:r>
    </w:p>
    <w:p w14:paraId="156C18B8" w14:textId="77777777" w:rsidR="004619DD" w:rsidRDefault="004619DD" w:rsidP="004619DD">
      <w:pPr>
        <w:pStyle w:val="ListParagraph"/>
        <w:numPr>
          <w:ilvl w:val="0"/>
          <w:numId w:val="8"/>
        </w:numPr>
        <w:rPr>
          <w:rFonts w:ascii="Arial" w:hAnsi="Arial" w:cs="Arial"/>
        </w:rPr>
      </w:pPr>
      <w:r>
        <w:rPr>
          <w:rFonts w:ascii="Arial" w:hAnsi="Arial" w:cs="Arial"/>
        </w:rPr>
        <w:t>Fines or Penalties</w:t>
      </w:r>
    </w:p>
    <w:p w14:paraId="6EFD16E5" w14:textId="77777777" w:rsidR="004619DD" w:rsidRDefault="004619DD" w:rsidP="004619DD">
      <w:pPr>
        <w:pStyle w:val="ListParagraph"/>
        <w:numPr>
          <w:ilvl w:val="0"/>
          <w:numId w:val="8"/>
        </w:numPr>
        <w:rPr>
          <w:rFonts w:ascii="Arial" w:hAnsi="Arial" w:cs="Arial"/>
        </w:rPr>
      </w:pPr>
      <w:r>
        <w:rPr>
          <w:rFonts w:ascii="Arial" w:hAnsi="Arial" w:cs="Arial"/>
        </w:rPr>
        <w:t>Gifts</w:t>
      </w:r>
    </w:p>
    <w:p w14:paraId="7E64370A" w14:textId="77777777" w:rsidR="004619DD" w:rsidRDefault="004619DD" w:rsidP="004619DD">
      <w:pPr>
        <w:pStyle w:val="ListParagraph"/>
        <w:numPr>
          <w:ilvl w:val="0"/>
          <w:numId w:val="8"/>
        </w:numPr>
        <w:rPr>
          <w:rFonts w:ascii="Arial" w:hAnsi="Arial" w:cs="Arial"/>
        </w:rPr>
      </w:pPr>
      <w:r>
        <w:rPr>
          <w:rFonts w:ascii="Arial" w:hAnsi="Arial" w:cs="Arial"/>
        </w:rPr>
        <w:t>Internal Interest</w:t>
      </w:r>
    </w:p>
    <w:p w14:paraId="65A0718B" w14:textId="77777777" w:rsidR="004619DD" w:rsidRDefault="004619DD" w:rsidP="004619DD">
      <w:pPr>
        <w:pStyle w:val="ListParagraph"/>
        <w:numPr>
          <w:ilvl w:val="0"/>
          <w:numId w:val="8"/>
        </w:numPr>
        <w:rPr>
          <w:rFonts w:ascii="Arial" w:hAnsi="Arial" w:cs="Arial"/>
        </w:rPr>
      </w:pPr>
      <w:r>
        <w:rPr>
          <w:rFonts w:ascii="Arial" w:hAnsi="Arial" w:cs="Arial"/>
        </w:rPr>
        <w:t>Memberships</w:t>
      </w:r>
    </w:p>
    <w:p w14:paraId="5730C586" w14:textId="77777777" w:rsidR="004619DD" w:rsidRDefault="004619DD" w:rsidP="004619DD">
      <w:pPr>
        <w:pStyle w:val="ListParagraph"/>
        <w:numPr>
          <w:ilvl w:val="0"/>
          <w:numId w:val="8"/>
        </w:numPr>
        <w:rPr>
          <w:rFonts w:ascii="Arial" w:hAnsi="Arial" w:cs="Arial"/>
        </w:rPr>
      </w:pPr>
      <w:r>
        <w:rPr>
          <w:rFonts w:ascii="Arial" w:hAnsi="Arial" w:cs="Arial"/>
        </w:rPr>
        <w:t>Salaries over the NIH cap</w:t>
      </w:r>
    </w:p>
    <w:p w14:paraId="05169254" w14:textId="77777777" w:rsidR="00DD0F09" w:rsidRDefault="00DD0F09" w:rsidP="004619DD">
      <w:pPr>
        <w:pStyle w:val="ListParagraph"/>
        <w:numPr>
          <w:ilvl w:val="0"/>
          <w:numId w:val="8"/>
        </w:numPr>
        <w:rPr>
          <w:rFonts w:ascii="Arial" w:hAnsi="Arial" w:cs="Arial"/>
        </w:rPr>
      </w:pPr>
      <w:r>
        <w:rPr>
          <w:rFonts w:ascii="Arial" w:hAnsi="Arial" w:cs="Arial"/>
        </w:rPr>
        <w:t>Scholarships and student aid</w:t>
      </w:r>
    </w:p>
    <w:p w14:paraId="4DF86287" w14:textId="77777777" w:rsidR="00DD0F09" w:rsidRDefault="00DD0F09" w:rsidP="00A82F29">
      <w:pPr>
        <w:pStyle w:val="ListParagraph"/>
        <w:rPr>
          <w:rFonts w:ascii="Arial" w:hAnsi="Arial" w:cs="Arial"/>
        </w:rPr>
      </w:pPr>
    </w:p>
    <w:p w14:paraId="4CE8AFDB" w14:textId="77777777" w:rsidR="00C84083" w:rsidRDefault="00C84083" w:rsidP="00A82F29">
      <w:pPr>
        <w:pStyle w:val="ListParagraph"/>
        <w:rPr>
          <w:rFonts w:ascii="Arial" w:hAnsi="Arial" w:cs="Arial"/>
        </w:rPr>
      </w:pPr>
    </w:p>
    <w:p w14:paraId="15AF4418" w14:textId="77777777" w:rsidR="00C84083" w:rsidRDefault="00C84083" w:rsidP="00A82F29">
      <w:pPr>
        <w:pStyle w:val="ListParagraph"/>
        <w:rPr>
          <w:rFonts w:ascii="Arial" w:hAnsi="Arial" w:cs="Arial"/>
        </w:rPr>
      </w:pPr>
    </w:p>
    <w:p w14:paraId="7FD416E5" w14:textId="52F604A6" w:rsidR="00DD0F09" w:rsidRDefault="00F96D2C" w:rsidP="007D0030">
      <w:pPr>
        <w:pStyle w:val="ListParagraph"/>
        <w:ind w:left="0"/>
        <w:rPr>
          <w:rFonts w:ascii="Arial" w:hAnsi="Arial" w:cs="Arial"/>
          <w:b/>
          <w:u w:val="single"/>
        </w:rPr>
      </w:pPr>
      <w:r>
        <w:rPr>
          <w:rFonts w:ascii="Arial" w:hAnsi="Arial" w:cs="Arial"/>
          <w:b/>
          <w:u w:val="single"/>
        </w:rPr>
        <w:t xml:space="preserve">Capital </w:t>
      </w:r>
      <w:r w:rsidR="00A313D5">
        <w:rPr>
          <w:rFonts w:ascii="Arial" w:hAnsi="Arial" w:cs="Arial"/>
          <w:b/>
          <w:u w:val="single"/>
        </w:rPr>
        <w:t>Assets</w:t>
      </w:r>
    </w:p>
    <w:p w14:paraId="067F48A7" w14:textId="77777777" w:rsidR="00F96D2C" w:rsidRDefault="00F96D2C" w:rsidP="007D0030">
      <w:pPr>
        <w:pStyle w:val="ListParagraph"/>
        <w:ind w:left="0"/>
        <w:rPr>
          <w:rFonts w:ascii="Arial" w:hAnsi="Arial" w:cs="Arial"/>
          <w:b/>
          <w:u w:val="single"/>
        </w:rPr>
      </w:pPr>
    </w:p>
    <w:p w14:paraId="5C12F313" w14:textId="14E34B7D" w:rsidR="00096987" w:rsidRDefault="00096987" w:rsidP="007D0030">
      <w:pPr>
        <w:pStyle w:val="ListParagraph"/>
        <w:ind w:left="0"/>
        <w:rPr>
          <w:rFonts w:ascii="Arial" w:hAnsi="Arial" w:cs="Arial"/>
        </w:rPr>
      </w:pPr>
      <w:r w:rsidRPr="00096987">
        <w:rPr>
          <w:rFonts w:ascii="Arial" w:hAnsi="Arial" w:cs="Arial"/>
        </w:rPr>
        <w:t xml:space="preserve">Capital </w:t>
      </w:r>
      <w:r w:rsidR="00C92CF0">
        <w:rPr>
          <w:rFonts w:ascii="Arial" w:hAnsi="Arial" w:cs="Arial"/>
        </w:rPr>
        <w:t>assets</w:t>
      </w:r>
      <w:r w:rsidR="00C92CF0" w:rsidRPr="00096987">
        <w:rPr>
          <w:rFonts w:ascii="Arial" w:hAnsi="Arial" w:cs="Arial"/>
        </w:rPr>
        <w:t xml:space="preserve"> </w:t>
      </w:r>
      <w:r w:rsidR="00C92CF0">
        <w:rPr>
          <w:rFonts w:ascii="Arial" w:hAnsi="Arial" w:cs="Arial"/>
        </w:rPr>
        <w:t>are</w:t>
      </w:r>
      <w:r w:rsidRPr="00096987">
        <w:rPr>
          <w:rFonts w:ascii="Arial" w:hAnsi="Arial" w:cs="Arial"/>
        </w:rPr>
        <w:t xml:space="preserve"> defined as an item with a purchase price of $5,000 or more with an estimated useful life greater than one year. </w:t>
      </w:r>
      <w:r w:rsidR="00A313D5">
        <w:rPr>
          <w:rFonts w:ascii="Arial" w:hAnsi="Arial" w:cs="Arial"/>
        </w:rPr>
        <w:t xml:space="preserve">Software purchases of $100,000 or more are considered a capital asset and may be depreciated in the Service Center. </w:t>
      </w:r>
      <w:hyperlink r:id="rId21" w:history="1">
        <w:r w:rsidR="00A313D5" w:rsidRPr="00A313D5">
          <w:rPr>
            <w:rStyle w:val="Hyperlink"/>
            <w:rFonts w:ascii="Arial" w:hAnsi="Arial" w:cs="Arial"/>
          </w:rPr>
          <w:t>University Capital Asset Policy 2.1.13</w:t>
        </w:r>
      </w:hyperlink>
      <w:r w:rsidR="00A313D5">
        <w:rPr>
          <w:rFonts w:ascii="Arial" w:hAnsi="Arial" w:cs="Arial"/>
        </w:rPr>
        <w:t xml:space="preserve"> </w:t>
      </w:r>
      <w:r w:rsidRPr="00096987">
        <w:rPr>
          <w:rFonts w:ascii="Arial" w:hAnsi="Arial" w:cs="Arial"/>
        </w:rPr>
        <w:t xml:space="preserve">Federal </w:t>
      </w:r>
      <w:r w:rsidR="00BD1FCA" w:rsidRPr="00096987">
        <w:rPr>
          <w:rFonts w:ascii="Arial" w:hAnsi="Arial" w:cs="Arial"/>
        </w:rPr>
        <w:t>guidelines</w:t>
      </w:r>
      <w:r w:rsidRPr="00096987">
        <w:rPr>
          <w:rFonts w:ascii="Arial" w:hAnsi="Arial" w:cs="Arial"/>
        </w:rPr>
        <w:t xml:space="preserve"> do not allow the purchase price of capital </w:t>
      </w:r>
      <w:r w:rsidR="00A313D5">
        <w:rPr>
          <w:rFonts w:ascii="Arial" w:hAnsi="Arial" w:cs="Arial"/>
        </w:rPr>
        <w:t>assets</w:t>
      </w:r>
      <w:r w:rsidR="00A313D5" w:rsidRPr="00096987">
        <w:rPr>
          <w:rFonts w:ascii="Arial" w:hAnsi="Arial" w:cs="Arial"/>
        </w:rPr>
        <w:t xml:space="preserve"> </w:t>
      </w:r>
      <w:r w:rsidRPr="00096987">
        <w:rPr>
          <w:rFonts w:ascii="Arial" w:hAnsi="Arial" w:cs="Arial"/>
        </w:rPr>
        <w:t xml:space="preserve">to be </w:t>
      </w:r>
      <w:r w:rsidR="00BD1FCA" w:rsidRPr="00096987">
        <w:rPr>
          <w:rFonts w:ascii="Arial" w:hAnsi="Arial" w:cs="Arial"/>
        </w:rPr>
        <w:t>recovered</w:t>
      </w:r>
      <w:r w:rsidRPr="00096987">
        <w:rPr>
          <w:rFonts w:ascii="Arial" w:hAnsi="Arial" w:cs="Arial"/>
        </w:rPr>
        <w:t xml:space="preserve"> </w:t>
      </w:r>
      <w:r w:rsidR="00BD1FCA" w:rsidRPr="00096987">
        <w:rPr>
          <w:rFonts w:ascii="Arial" w:hAnsi="Arial" w:cs="Arial"/>
        </w:rPr>
        <w:t>through</w:t>
      </w:r>
      <w:r w:rsidRPr="00096987">
        <w:rPr>
          <w:rFonts w:ascii="Arial" w:hAnsi="Arial" w:cs="Arial"/>
        </w:rPr>
        <w:t xml:space="preserve"> service </w:t>
      </w:r>
      <w:r w:rsidR="00357425">
        <w:rPr>
          <w:rFonts w:ascii="Arial" w:hAnsi="Arial" w:cs="Arial"/>
        </w:rPr>
        <w:t xml:space="preserve">center rates. The rates should </w:t>
      </w:r>
      <w:r w:rsidRPr="00096987">
        <w:rPr>
          <w:rFonts w:ascii="Arial" w:hAnsi="Arial" w:cs="Arial"/>
        </w:rPr>
        <w:t>include depreciation of the equipment</w:t>
      </w:r>
      <w:r w:rsidR="00A313D5">
        <w:rPr>
          <w:rFonts w:ascii="Arial" w:hAnsi="Arial" w:cs="Arial"/>
        </w:rPr>
        <w:t xml:space="preserve"> or software</w:t>
      </w:r>
      <w:r w:rsidRPr="00096987">
        <w:rPr>
          <w:rFonts w:ascii="Arial" w:hAnsi="Arial" w:cs="Arial"/>
        </w:rPr>
        <w:t xml:space="preserve"> as calculated by the University to allow for recovery of its purchase cost over its useful life. Capital </w:t>
      </w:r>
      <w:r w:rsidR="00A313D5">
        <w:rPr>
          <w:rFonts w:ascii="Arial" w:hAnsi="Arial" w:cs="Arial"/>
        </w:rPr>
        <w:t xml:space="preserve">assets </w:t>
      </w:r>
      <w:r w:rsidRPr="00096987">
        <w:rPr>
          <w:rFonts w:ascii="Arial" w:hAnsi="Arial" w:cs="Arial"/>
        </w:rPr>
        <w:t>purchased with federal funds cannot be included in the user rates.</w:t>
      </w:r>
      <w:r w:rsidR="000E08D4">
        <w:rPr>
          <w:rFonts w:ascii="Arial" w:hAnsi="Arial" w:cs="Arial"/>
        </w:rPr>
        <w:t xml:space="preserve"> Capital </w:t>
      </w:r>
      <w:r w:rsidR="00A313D5">
        <w:rPr>
          <w:rFonts w:ascii="Arial" w:hAnsi="Arial" w:cs="Arial"/>
        </w:rPr>
        <w:t xml:space="preserve">assets </w:t>
      </w:r>
      <w:r w:rsidR="0064202D">
        <w:rPr>
          <w:rFonts w:ascii="Arial" w:hAnsi="Arial" w:cs="Arial"/>
        </w:rPr>
        <w:t xml:space="preserve">should be accounted for in a separate </w:t>
      </w:r>
      <w:r w:rsidR="00A313D5">
        <w:rPr>
          <w:rFonts w:ascii="Arial" w:hAnsi="Arial" w:cs="Arial"/>
        </w:rPr>
        <w:t xml:space="preserve">fund </w:t>
      </w:r>
      <w:r w:rsidR="0064202D">
        <w:rPr>
          <w:rFonts w:ascii="Arial" w:hAnsi="Arial" w:cs="Arial"/>
        </w:rPr>
        <w:t>account (P6xxxxx).</w:t>
      </w:r>
      <w:r w:rsidR="00C84083">
        <w:rPr>
          <w:rFonts w:ascii="Arial" w:hAnsi="Arial" w:cs="Arial"/>
        </w:rPr>
        <w:t xml:space="preserve"> Capital </w:t>
      </w:r>
      <w:r w:rsidR="00A313D5">
        <w:rPr>
          <w:rFonts w:ascii="Arial" w:hAnsi="Arial" w:cs="Arial"/>
        </w:rPr>
        <w:t>assets are</w:t>
      </w:r>
      <w:r w:rsidR="00C84083">
        <w:rPr>
          <w:rFonts w:ascii="Arial" w:hAnsi="Arial" w:cs="Arial"/>
        </w:rPr>
        <w:t xml:space="preserve"> reported on the </w:t>
      </w:r>
      <w:hyperlink w:anchor="Equipment" w:history="1">
        <w:r w:rsidR="00C84083" w:rsidRPr="00C84083">
          <w:rPr>
            <w:rStyle w:val="Hyperlink"/>
            <w:rFonts w:ascii="Arial" w:hAnsi="Arial" w:cs="Arial"/>
          </w:rPr>
          <w:t>equipment use tab of the questionnaire.</w:t>
        </w:r>
      </w:hyperlink>
    </w:p>
    <w:p w14:paraId="5E0419E2" w14:textId="77777777" w:rsidR="00F96D2C" w:rsidRDefault="00F96D2C" w:rsidP="007D0030">
      <w:pPr>
        <w:pStyle w:val="ListParagraph"/>
        <w:ind w:left="0"/>
        <w:rPr>
          <w:rFonts w:ascii="Arial" w:hAnsi="Arial" w:cs="Arial"/>
        </w:rPr>
      </w:pPr>
    </w:p>
    <w:p w14:paraId="5E61E837" w14:textId="77777777" w:rsidR="00F96D2C" w:rsidRPr="00DD0F09" w:rsidRDefault="00F96D2C" w:rsidP="00F96D2C">
      <w:pPr>
        <w:pStyle w:val="ListParagraph"/>
        <w:ind w:left="0"/>
        <w:rPr>
          <w:rFonts w:ascii="Arial" w:hAnsi="Arial" w:cs="Arial"/>
        </w:rPr>
      </w:pPr>
      <w:r w:rsidRPr="00DD0F09">
        <w:rPr>
          <w:rFonts w:ascii="Arial" w:hAnsi="Arial" w:cs="Arial"/>
        </w:rPr>
        <w:t>Any questions regarding the allowability of expenses may be addressed to the Government Cost Compliance office.</w:t>
      </w:r>
    </w:p>
    <w:p w14:paraId="6D165C25" w14:textId="77777777" w:rsidR="00096987" w:rsidRDefault="00096987" w:rsidP="007D0030">
      <w:pPr>
        <w:pStyle w:val="ListParagraph"/>
        <w:ind w:left="0"/>
        <w:rPr>
          <w:rFonts w:ascii="Arial" w:hAnsi="Arial" w:cs="Arial"/>
          <w:b/>
          <w:u w:val="single"/>
        </w:rPr>
      </w:pPr>
    </w:p>
    <w:p w14:paraId="0DD9F34D" w14:textId="4C2413B8" w:rsidR="00DD0F09" w:rsidRDefault="00903008" w:rsidP="007D0030">
      <w:pPr>
        <w:pStyle w:val="ListParagraph"/>
        <w:ind w:left="0"/>
        <w:rPr>
          <w:rFonts w:ascii="Arial" w:hAnsi="Arial" w:cs="Arial"/>
        </w:rPr>
      </w:pPr>
      <w:r w:rsidRPr="00903008">
        <w:rPr>
          <w:rFonts w:ascii="Arial" w:hAnsi="Arial" w:cs="Arial"/>
        </w:rPr>
        <w:t xml:space="preserve">Service Centers will report annual budgets using </w:t>
      </w:r>
      <w:r w:rsidRPr="00C84083">
        <w:rPr>
          <w:rFonts w:ascii="Arial" w:hAnsi="Arial" w:cs="Arial"/>
        </w:rPr>
        <w:t xml:space="preserve">the </w:t>
      </w:r>
      <w:hyperlink w:anchor="Budget" w:history="1">
        <w:r w:rsidRPr="00C84083">
          <w:rPr>
            <w:rStyle w:val="Hyperlink"/>
            <w:rFonts w:ascii="Arial" w:hAnsi="Arial" w:cs="Arial"/>
          </w:rPr>
          <w:t>Servic</w:t>
        </w:r>
        <w:r w:rsidR="000E08D4" w:rsidRPr="00C84083">
          <w:rPr>
            <w:rStyle w:val="Hyperlink"/>
            <w:rFonts w:ascii="Arial" w:hAnsi="Arial" w:cs="Arial"/>
          </w:rPr>
          <w:t>e Center Questionnaire</w:t>
        </w:r>
      </w:hyperlink>
      <w:r w:rsidR="000E08D4" w:rsidRPr="00C84083">
        <w:rPr>
          <w:rFonts w:ascii="Arial" w:hAnsi="Arial" w:cs="Arial"/>
        </w:rPr>
        <w:t xml:space="preserve"> during</w:t>
      </w:r>
      <w:r w:rsidR="000E08D4">
        <w:rPr>
          <w:rFonts w:ascii="Arial" w:hAnsi="Arial" w:cs="Arial"/>
        </w:rPr>
        <w:t xml:space="preserve"> the rate approval process</w:t>
      </w:r>
      <w:r w:rsidRPr="00903008">
        <w:rPr>
          <w:rFonts w:ascii="Arial" w:hAnsi="Arial" w:cs="Arial"/>
        </w:rPr>
        <w:t xml:space="preserve">. </w:t>
      </w:r>
      <w:r w:rsidR="001A2112">
        <w:rPr>
          <w:rFonts w:ascii="Arial" w:hAnsi="Arial" w:cs="Arial"/>
        </w:rPr>
        <w:t xml:space="preserve">Personnel and Fringe Benefit expenses are reported on the direct &amp; indirect </w:t>
      </w:r>
      <w:r w:rsidR="00C92CF0">
        <w:rPr>
          <w:rFonts w:ascii="Arial" w:hAnsi="Arial" w:cs="Arial"/>
        </w:rPr>
        <w:t xml:space="preserve">personnel </w:t>
      </w:r>
      <w:r w:rsidR="001A2112">
        <w:rPr>
          <w:rFonts w:ascii="Arial" w:hAnsi="Arial" w:cs="Arial"/>
        </w:rPr>
        <w:t xml:space="preserve">tab of the questionnaire. Direct material costs are reported on the direct material tab of the questionnaire. Capital </w:t>
      </w:r>
      <w:r w:rsidR="00C92CF0">
        <w:rPr>
          <w:rFonts w:ascii="Arial" w:hAnsi="Arial" w:cs="Arial"/>
        </w:rPr>
        <w:t>assets are</w:t>
      </w:r>
      <w:r w:rsidR="001A2112">
        <w:rPr>
          <w:rFonts w:ascii="Arial" w:hAnsi="Arial" w:cs="Arial"/>
        </w:rPr>
        <w:t xml:space="preserve"> recorded on the equipment use tab of the questionnaire. All other costs are reported on the other direct &amp; indirect </w:t>
      </w:r>
      <w:r w:rsidR="00C92CF0">
        <w:rPr>
          <w:rFonts w:ascii="Arial" w:hAnsi="Arial" w:cs="Arial"/>
        </w:rPr>
        <w:t xml:space="preserve">cost </w:t>
      </w:r>
      <w:r w:rsidR="001A2112">
        <w:rPr>
          <w:rFonts w:ascii="Arial" w:hAnsi="Arial" w:cs="Arial"/>
        </w:rPr>
        <w:t xml:space="preserve">tab of the questionnaire. Projected Billable units are recorded on the </w:t>
      </w:r>
      <w:r w:rsidR="00C92CF0">
        <w:rPr>
          <w:rFonts w:ascii="Arial" w:hAnsi="Arial" w:cs="Arial"/>
        </w:rPr>
        <w:t>summary</w:t>
      </w:r>
      <w:r w:rsidR="001A2112">
        <w:rPr>
          <w:rFonts w:ascii="Arial" w:hAnsi="Arial" w:cs="Arial"/>
        </w:rPr>
        <w:t xml:space="preserve"> tab. The previous fiscal year’s actual recovery &amp; expenses are reported on the budget tab of the questionnaire. </w:t>
      </w:r>
    </w:p>
    <w:p w14:paraId="7D578E30" w14:textId="77777777" w:rsidR="001A2112" w:rsidRDefault="001A2112" w:rsidP="007D0030">
      <w:pPr>
        <w:pStyle w:val="ListParagraph"/>
        <w:ind w:left="0"/>
        <w:rPr>
          <w:rFonts w:ascii="Arial" w:hAnsi="Arial" w:cs="Arial"/>
        </w:rPr>
      </w:pPr>
    </w:p>
    <w:p w14:paraId="22F6B0A4" w14:textId="77777777" w:rsidR="001A2112" w:rsidRPr="00903008" w:rsidRDefault="001A2112" w:rsidP="007D0030">
      <w:pPr>
        <w:pStyle w:val="ListParagraph"/>
        <w:ind w:left="0"/>
        <w:rPr>
          <w:rFonts w:ascii="Arial" w:hAnsi="Arial" w:cs="Arial"/>
        </w:rPr>
      </w:pPr>
      <w:r>
        <w:rPr>
          <w:rFonts w:ascii="Arial" w:hAnsi="Arial" w:cs="Arial"/>
        </w:rPr>
        <w:tab/>
      </w:r>
      <w:r>
        <w:rPr>
          <w:rFonts w:ascii="Arial" w:hAnsi="Arial" w:cs="Arial"/>
        </w:rPr>
        <w:tab/>
      </w:r>
    </w:p>
    <w:p w14:paraId="29C3C10D" w14:textId="0985A8A8" w:rsidR="00D97A57" w:rsidRDefault="00D97A57" w:rsidP="00DD0F09">
      <w:pPr>
        <w:pStyle w:val="PlainText"/>
        <w:rPr>
          <w:rFonts w:ascii="Arial" w:hAnsi="Arial" w:cs="Arial"/>
          <w:b/>
          <w:sz w:val="32"/>
          <w:szCs w:val="32"/>
        </w:rPr>
      </w:pPr>
    </w:p>
    <w:p w14:paraId="67A3D94B" w14:textId="77777777" w:rsidR="00F2020D" w:rsidRDefault="00F2020D" w:rsidP="00DD0F09">
      <w:pPr>
        <w:pStyle w:val="PlainText"/>
        <w:rPr>
          <w:rFonts w:ascii="Arial" w:hAnsi="Arial" w:cs="Arial"/>
          <w:b/>
          <w:sz w:val="32"/>
          <w:szCs w:val="32"/>
        </w:rPr>
      </w:pPr>
    </w:p>
    <w:p w14:paraId="55D1CF56" w14:textId="77777777" w:rsidR="00DD0F09" w:rsidRDefault="00A12858" w:rsidP="00DD0F09">
      <w:pPr>
        <w:pStyle w:val="PlainText"/>
        <w:rPr>
          <w:rFonts w:ascii="Arial" w:hAnsi="Arial" w:cs="Arial"/>
          <w:b/>
          <w:sz w:val="32"/>
          <w:szCs w:val="32"/>
        </w:rPr>
      </w:pPr>
      <w:r>
        <w:rPr>
          <w:rFonts w:ascii="Arial" w:hAnsi="Arial" w:cs="Arial"/>
          <w:b/>
          <w:sz w:val="32"/>
          <w:szCs w:val="32"/>
        </w:rPr>
        <w:t>RATE DEVELOPMENT</w:t>
      </w:r>
    </w:p>
    <w:p w14:paraId="6D0BF83F" w14:textId="77777777" w:rsidR="00DD0F09" w:rsidRDefault="00DD0F09" w:rsidP="007D0030">
      <w:pPr>
        <w:pStyle w:val="ListParagraph"/>
        <w:ind w:left="0"/>
        <w:rPr>
          <w:rFonts w:ascii="Arial" w:hAnsi="Arial" w:cs="Arial"/>
          <w:b/>
          <w:u w:val="single"/>
        </w:rPr>
      </w:pPr>
    </w:p>
    <w:p w14:paraId="7F3F7933" w14:textId="77777777" w:rsidR="00013D14" w:rsidRDefault="00390A00" w:rsidP="007D0030">
      <w:pPr>
        <w:pStyle w:val="ListParagraph"/>
        <w:ind w:left="0"/>
        <w:rPr>
          <w:rFonts w:ascii="Arial" w:hAnsi="Arial" w:cs="Arial"/>
          <w:b/>
          <w:u w:val="single"/>
        </w:rPr>
      </w:pPr>
      <w:r>
        <w:rPr>
          <w:rFonts w:ascii="Arial" w:hAnsi="Arial" w:cs="Arial"/>
          <w:b/>
          <w:u w:val="single"/>
        </w:rPr>
        <w:t>Rate Calculations Regulations &amp; Policies</w:t>
      </w:r>
    </w:p>
    <w:p w14:paraId="4119A485" w14:textId="77777777" w:rsidR="003F5BA7" w:rsidRDefault="003F5BA7" w:rsidP="003F5BA7">
      <w:pPr>
        <w:pStyle w:val="ListParagraph"/>
        <w:ind w:left="0"/>
        <w:rPr>
          <w:rFonts w:ascii="Arial" w:hAnsi="Arial" w:cs="Arial"/>
        </w:rPr>
      </w:pPr>
    </w:p>
    <w:p w14:paraId="0FC95A10" w14:textId="77777777" w:rsidR="003F5BA7" w:rsidRDefault="003F5BA7" w:rsidP="003F5BA7">
      <w:pPr>
        <w:pStyle w:val="ListParagraph"/>
        <w:ind w:left="0"/>
        <w:rPr>
          <w:rFonts w:ascii="Arial" w:hAnsi="Arial" w:cs="Arial"/>
          <w:b/>
          <w:u w:val="single"/>
        </w:rPr>
      </w:pPr>
      <w:r>
        <w:rPr>
          <w:rFonts w:ascii="Arial" w:hAnsi="Arial" w:cs="Arial"/>
        </w:rPr>
        <w:t xml:space="preserve">Rate calculations are to </w:t>
      </w:r>
      <w:r w:rsidR="007509EA">
        <w:rPr>
          <w:rFonts w:ascii="Arial" w:hAnsi="Arial" w:cs="Arial"/>
        </w:rPr>
        <w:t>be</w:t>
      </w:r>
      <w:r w:rsidR="001A2112">
        <w:rPr>
          <w:rFonts w:ascii="Arial" w:hAnsi="Arial" w:cs="Arial"/>
        </w:rPr>
        <w:t xml:space="preserve"> </w:t>
      </w:r>
      <w:r>
        <w:rPr>
          <w:rFonts w:ascii="Arial" w:hAnsi="Arial" w:cs="Arial"/>
        </w:rPr>
        <w:t>submitted during the rate approval process.</w:t>
      </w:r>
      <w:r w:rsidR="007509EA">
        <w:rPr>
          <w:rFonts w:ascii="Arial" w:hAnsi="Arial" w:cs="Arial"/>
        </w:rPr>
        <w:t xml:space="preserve"> The rate calculations are calculated </w:t>
      </w:r>
      <w:r w:rsidR="007509EA" w:rsidRPr="00C84083">
        <w:rPr>
          <w:rFonts w:ascii="Arial" w:hAnsi="Arial" w:cs="Arial"/>
        </w:rPr>
        <w:t xml:space="preserve">by completing the </w:t>
      </w:r>
      <w:hyperlink w:anchor="Questionnaire" w:history="1">
        <w:r w:rsidR="007509EA" w:rsidRPr="00C84083">
          <w:rPr>
            <w:rStyle w:val="Hyperlink"/>
            <w:rFonts w:ascii="Arial" w:hAnsi="Arial" w:cs="Arial"/>
          </w:rPr>
          <w:t>service center questionnaire</w:t>
        </w:r>
      </w:hyperlink>
      <w:r w:rsidR="007509EA" w:rsidRPr="00C84083">
        <w:rPr>
          <w:rFonts w:ascii="Arial" w:hAnsi="Arial" w:cs="Arial"/>
        </w:rPr>
        <w:t>.</w:t>
      </w:r>
    </w:p>
    <w:p w14:paraId="3A90BFD3" w14:textId="77777777" w:rsidR="00B14F71" w:rsidRDefault="00B14F71" w:rsidP="0004073C">
      <w:pPr>
        <w:autoSpaceDE w:val="0"/>
        <w:autoSpaceDN w:val="0"/>
        <w:adjustRightInd w:val="0"/>
        <w:spacing w:after="0" w:line="240" w:lineRule="auto"/>
        <w:rPr>
          <w:rFonts w:ascii="Arial" w:hAnsi="Arial" w:cs="Arial"/>
        </w:rPr>
      </w:pPr>
      <w:r w:rsidRPr="00B14F71">
        <w:rPr>
          <w:rFonts w:ascii="Arial" w:hAnsi="Arial" w:cs="Arial"/>
        </w:rPr>
        <w:t xml:space="preserve">Rates established by </w:t>
      </w:r>
      <w:r w:rsidR="0004073C" w:rsidRPr="00B14F71">
        <w:rPr>
          <w:rFonts w:ascii="Arial" w:hAnsi="Arial" w:cs="Arial"/>
        </w:rPr>
        <w:t xml:space="preserve">service centers must be non-discriminatory, and all users of </w:t>
      </w:r>
      <w:r w:rsidRPr="00B14F71">
        <w:rPr>
          <w:rFonts w:ascii="Arial" w:hAnsi="Arial" w:cs="Arial"/>
        </w:rPr>
        <w:t xml:space="preserve">the facility must be billed for </w:t>
      </w:r>
      <w:r w:rsidR="0004073C" w:rsidRPr="00B14F71">
        <w:rPr>
          <w:rFonts w:ascii="Arial" w:hAnsi="Arial" w:cs="Arial"/>
        </w:rPr>
        <w:t>services. Non-</w:t>
      </w:r>
      <w:r w:rsidR="0004073C" w:rsidRPr="00E54FBA">
        <w:rPr>
          <w:rFonts w:ascii="Arial" w:hAnsi="Arial" w:cs="Arial"/>
        </w:rPr>
        <w:t>discriminatory means all internal</w:t>
      </w:r>
      <w:r w:rsidRPr="00E54FBA">
        <w:rPr>
          <w:rFonts w:ascii="Arial" w:hAnsi="Arial" w:cs="Arial"/>
        </w:rPr>
        <w:t>/federal</w:t>
      </w:r>
      <w:r w:rsidR="0004073C" w:rsidRPr="00E54FBA">
        <w:rPr>
          <w:rFonts w:ascii="Arial" w:hAnsi="Arial" w:cs="Arial"/>
        </w:rPr>
        <w:t xml:space="preserve"> users must be</w:t>
      </w:r>
      <w:r w:rsidR="0004073C" w:rsidRPr="00B14F71">
        <w:rPr>
          <w:rFonts w:ascii="Arial" w:hAnsi="Arial" w:cs="Arial"/>
        </w:rPr>
        <w:t xml:space="preserve"> charged at </w:t>
      </w:r>
      <w:r w:rsidR="001F3420">
        <w:rPr>
          <w:rFonts w:ascii="Arial" w:hAnsi="Arial" w:cs="Arial"/>
        </w:rPr>
        <w:t xml:space="preserve">the </w:t>
      </w:r>
      <w:r w:rsidR="0004073C" w:rsidRPr="00B14F71">
        <w:rPr>
          <w:rFonts w:ascii="Arial" w:hAnsi="Arial" w:cs="Arial"/>
        </w:rPr>
        <w:t>same rate(s) for the</w:t>
      </w:r>
      <w:r w:rsidRPr="00B14F71">
        <w:rPr>
          <w:rFonts w:ascii="Arial" w:hAnsi="Arial" w:cs="Arial"/>
        </w:rPr>
        <w:t xml:space="preserve"> </w:t>
      </w:r>
      <w:r w:rsidR="0004073C" w:rsidRPr="00B14F71">
        <w:rPr>
          <w:rFonts w:ascii="Arial" w:hAnsi="Arial" w:cs="Arial"/>
        </w:rPr>
        <w:t>same level of services or products purchased</w:t>
      </w:r>
      <w:r>
        <w:rPr>
          <w:rFonts w:ascii="Arial" w:hAnsi="Arial" w:cs="Arial"/>
        </w:rPr>
        <w:t>.</w:t>
      </w:r>
      <w:r w:rsidR="00583D9D">
        <w:rPr>
          <w:rFonts w:ascii="Arial" w:hAnsi="Arial" w:cs="Arial"/>
        </w:rPr>
        <w:t xml:space="preserve"> </w:t>
      </w:r>
    </w:p>
    <w:p w14:paraId="5E1BDB57" w14:textId="77777777" w:rsidR="007E1B0F" w:rsidRPr="00B14F71" w:rsidRDefault="007E1B0F" w:rsidP="0004073C">
      <w:pPr>
        <w:autoSpaceDE w:val="0"/>
        <w:autoSpaceDN w:val="0"/>
        <w:adjustRightInd w:val="0"/>
        <w:spacing w:after="0" w:line="240" w:lineRule="auto"/>
        <w:rPr>
          <w:rFonts w:ascii="Arial" w:hAnsi="Arial" w:cs="Arial"/>
        </w:rPr>
      </w:pPr>
    </w:p>
    <w:p w14:paraId="6DBA82B4" w14:textId="77777777" w:rsidR="0004073C" w:rsidRDefault="0004073C" w:rsidP="00B14F71">
      <w:pPr>
        <w:autoSpaceDE w:val="0"/>
        <w:autoSpaceDN w:val="0"/>
        <w:adjustRightInd w:val="0"/>
        <w:spacing w:after="0" w:line="240" w:lineRule="auto"/>
        <w:rPr>
          <w:rFonts w:ascii="Arial" w:hAnsi="Arial" w:cs="Arial"/>
        </w:rPr>
      </w:pPr>
      <w:r w:rsidRPr="00E54FBA">
        <w:rPr>
          <w:rFonts w:ascii="Arial" w:hAnsi="Arial" w:cs="Arial"/>
        </w:rPr>
        <w:t>External</w:t>
      </w:r>
      <w:r w:rsidR="00B14F71" w:rsidRPr="00E54FBA">
        <w:rPr>
          <w:rFonts w:ascii="Arial" w:hAnsi="Arial" w:cs="Arial"/>
        </w:rPr>
        <w:t xml:space="preserve"> and Affiliate</w:t>
      </w:r>
      <w:r w:rsidRPr="00E54FBA">
        <w:rPr>
          <w:rFonts w:ascii="Arial" w:hAnsi="Arial" w:cs="Arial"/>
        </w:rPr>
        <w:t xml:space="preserve"> users may be charged a higher billing rate than internal</w:t>
      </w:r>
      <w:r w:rsidR="00B14F71" w:rsidRPr="00E54FBA">
        <w:rPr>
          <w:rFonts w:ascii="Arial" w:hAnsi="Arial" w:cs="Arial"/>
        </w:rPr>
        <w:t>/federal</w:t>
      </w:r>
      <w:r w:rsidRPr="00E54FBA">
        <w:rPr>
          <w:rFonts w:ascii="Arial" w:hAnsi="Arial" w:cs="Arial"/>
        </w:rPr>
        <w:t xml:space="preserve"> users</w:t>
      </w:r>
      <w:r w:rsidR="00B14F71" w:rsidRPr="00E54FBA">
        <w:rPr>
          <w:rFonts w:ascii="Arial" w:hAnsi="Arial" w:cs="Arial"/>
        </w:rPr>
        <w:t xml:space="preserve"> to </w:t>
      </w:r>
      <w:r w:rsidRPr="00E54FBA">
        <w:rPr>
          <w:rFonts w:ascii="Arial" w:hAnsi="Arial" w:cs="Arial"/>
        </w:rPr>
        <w:t>recover F&amp;A costs, other related expenses or to subsidize internal users.</w:t>
      </w:r>
    </w:p>
    <w:p w14:paraId="27351506" w14:textId="77777777" w:rsidR="003F5BA7" w:rsidRDefault="003F5BA7" w:rsidP="00B14F71">
      <w:pPr>
        <w:autoSpaceDE w:val="0"/>
        <w:autoSpaceDN w:val="0"/>
        <w:adjustRightInd w:val="0"/>
        <w:spacing w:after="0" w:line="240" w:lineRule="auto"/>
        <w:rPr>
          <w:rFonts w:ascii="Arial" w:hAnsi="Arial" w:cs="Arial"/>
        </w:rPr>
      </w:pPr>
    </w:p>
    <w:p w14:paraId="3A7454BB" w14:textId="77777777" w:rsidR="00E54FBA" w:rsidRDefault="00E54FBA" w:rsidP="00013D14">
      <w:pPr>
        <w:pStyle w:val="PlainText"/>
        <w:rPr>
          <w:rFonts w:ascii="Arial" w:hAnsi="Arial" w:cs="Arial"/>
          <w:sz w:val="22"/>
          <w:szCs w:val="22"/>
        </w:rPr>
      </w:pPr>
      <w:r>
        <w:rPr>
          <w:rFonts w:ascii="Arial" w:hAnsi="Arial" w:cs="Arial"/>
          <w:sz w:val="22"/>
          <w:szCs w:val="22"/>
        </w:rPr>
        <w:t>Federal rates must be lower or equal to the lowest rate charged.</w:t>
      </w:r>
    </w:p>
    <w:p w14:paraId="1BE363B3" w14:textId="77777777" w:rsidR="004619DD" w:rsidRPr="00013D14" w:rsidRDefault="004619DD" w:rsidP="00013D14">
      <w:pPr>
        <w:pStyle w:val="PlainText"/>
        <w:rPr>
          <w:rFonts w:ascii="Arial" w:hAnsi="Arial" w:cs="Arial"/>
          <w:sz w:val="22"/>
          <w:szCs w:val="22"/>
        </w:rPr>
      </w:pPr>
    </w:p>
    <w:p w14:paraId="7D7494BA" w14:textId="77777777" w:rsidR="00682AA1" w:rsidRDefault="007E1B0F" w:rsidP="007E1B0F">
      <w:pPr>
        <w:pStyle w:val="ListParagraph"/>
        <w:ind w:left="0"/>
        <w:rPr>
          <w:rFonts w:ascii="Arial" w:hAnsi="Arial" w:cs="Arial"/>
        </w:rPr>
      </w:pPr>
      <w:r>
        <w:rPr>
          <w:rFonts w:ascii="Arial" w:hAnsi="Arial" w:cs="Arial"/>
        </w:rPr>
        <w:t xml:space="preserve">The Uniform Guidance requires that Service Centers charge according to actual usage at non-discriminatory rates calculated to recover no more than the actual costs of the service provided. See Appendix A for Uniform Guidance section 200.468. To meet this federal </w:t>
      </w:r>
      <w:r w:rsidR="00682AA1">
        <w:rPr>
          <w:rFonts w:ascii="Arial" w:hAnsi="Arial" w:cs="Arial"/>
        </w:rPr>
        <w:t>regulation,</w:t>
      </w:r>
      <w:r>
        <w:rPr>
          <w:rFonts w:ascii="Arial" w:hAnsi="Arial" w:cs="Arial"/>
        </w:rPr>
        <w:t xml:space="preserve"> the r</w:t>
      </w:r>
      <w:r w:rsidRPr="00E54FBA">
        <w:rPr>
          <w:rFonts w:ascii="Arial" w:hAnsi="Arial" w:cs="Arial"/>
        </w:rPr>
        <w:t xml:space="preserve">ates charged to federal users may not exceed the cost of providing the good or service. </w:t>
      </w:r>
      <w:r>
        <w:rPr>
          <w:rFonts w:ascii="Arial" w:hAnsi="Arial" w:cs="Arial"/>
        </w:rPr>
        <w:t>Service Centers must exclude federally unallowable expense</w:t>
      </w:r>
      <w:r w:rsidR="006B4F19">
        <w:rPr>
          <w:rFonts w:ascii="Arial" w:hAnsi="Arial" w:cs="Arial"/>
        </w:rPr>
        <w:t>s</w:t>
      </w:r>
      <w:r>
        <w:rPr>
          <w:rFonts w:ascii="Arial" w:hAnsi="Arial" w:cs="Arial"/>
        </w:rPr>
        <w:t xml:space="preserve"> from their billing calculations for federal users.</w:t>
      </w:r>
      <w:r w:rsidR="005C394E">
        <w:rPr>
          <w:rFonts w:ascii="Arial" w:hAnsi="Arial" w:cs="Arial"/>
        </w:rPr>
        <w:t xml:space="preserve"> For a complete </w:t>
      </w:r>
      <w:r w:rsidR="00357425">
        <w:rPr>
          <w:rFonts w:ascii="Arial" w:hAnsi="Arial" w:cs="Arial"/>
        </w:rPr>
        <w:t>list,</w:t>
      </w:r>
      <w:r w:rsidR="005C394E">
        <w:rPr>
          <w:rFonts w:ascii="Arial" w:hAnsi="Arial" w:cs="Arial"/>
        </w:rPr>
        <w:t xml:space="preserve"> refer to </w:t>
      </w:r>
      <w:hyperlink r:id="rId22" w:anchor="sg2.1.200_1419.sg16" w:history="1">
        <w:r w:rsidR="005C394E" w:rsidRPr="005C394E">
          <w:rPr>
            <w:rStyle w:val="Hyperlink"/>
            <w:rFonts w:ascii="Arial" w:hAnsi="Arial" w:cs="Arial"/>
          </w:rPr>
          <w:t>Subpart E of the Code of Federal Regulations</w:t>
        </w:r>
      </w:hyperlink>
      <w:r w:rsidR="00682AA1">
        <w:rPr>
          <w:rFonts w:ascii="Arial" w:hAnsi="Arial" w:cs="Arial"/>
        </w:rPr>
        <w:t xml:space="preserve"> on expenses ineligible for federal reimbursement.</w:t>
      </w:r>
    </w:p>
    <w:p w14:paraId="7C7AA771" w14:textId="77777777" w:rsidR="00682AA1" w:rsidRDefault="00682AA1" w:rsidP="007E1B0F">
      <w:pPr>
        <w:pStyle w:val="ListParagraph"/>
        <w:ind w:left="0"/>
        <w:rPr>
          <w:rFonts w:ascii="Arial" w:hAnsi="Arial" w:cs="Arial"/>
        </w:rPr>
      </w:pPr>
    </w:p>
    <w:p w14:paraId="08768E45" w14:textId="77777777" w:rsidR="00682AA1" w:rsidRDefault="00682AA1" w:rsidP="007E1B0F">
      <w:pPr>
        <w:pStyle w:val="ListParagraph"/>
        <w:ind w:left="0"/>
        <w:rPr>
          <w:rFonts w:ascii="Arial" w:hAnsi="Arial" w:cs="Arial"/>
        </w:rPr>
      </w:pPr>
      <w:r>
        <w:rPr>
          <w:rFonts w:ascii="Arial" w:hAnsi="Arial" w:cs="Arial"/>
        </w:rPr>
        <w:t>Unallowable Expenses Categories include</w:t>
      </w:r>
      <w:r w:rsidR="000F7242">
        <w:rPr>
          <w:rFonts w:ascii="Arial" w:hAnsi="Arial" w:cs="Arial"/>
        </w:rPr>
        <w:t xml:space="preserve"> but are not limited to the following</w:t>
      </w:r>
      <w:r>
        <w:rPr>
          <w:rFonts w:ascii="Arial" w:hAnsi="Arial" w:cs="Arial"/>
        </w:rPr>
        <w:t>:</w:t>
      </w:r>
    </w:p>
    <w:p w14:paraId="473C960D" w14:textId="77777777" w:rsidR="00682AA1" w:rsidRDefault="00682AA1" w:rsidP="00682AA1">
      <w:pPr>
        <w:pStyle w:val="ListParagraph"/>
        <w:numPr>
          <w:ilvl w:val="0"/>
          <w:numId w:val="8"/>
        </w:numPr>
        <w:rPr>
          <w:rFonts w:ascii="Arial" w:hAnsi="Arial" w:cs="Arial"/>
        </w:rPr>
      </w:pPr>
      <w:r>
        <w:rPr>
          <w:rFonts w:ascii="Arial" w:hAnsi="Arial" w:cs="Arial"/>
        </w:rPr>
        <w:t>Alcoholic beverages</w:t>
      </w:r>
    </w:p>
    <w:p w14:paraId="7A555845" w14:textId="77777777" w:rsidR="00682AA1" w:rsidRDefault="00682AA1" w:rsidP="00682AA1">
      <w:pPr>
        <w:pStyle w:val="ListParagraph"/>
        <w:numPr>
          <w:ilvl w:val="0"/>
          <w:numId w:val="8"/>
        </w:numPr>
        <w:rPr>
          <w:rFonts w:ascii="Arial" w:hAnsi="Arial" w:cs="Arial"/>
        </w:rPr>
      </w:pPr>
      <w:r>
        <w:rPr>
          <w:rFonts w:ascii="Arial" w:hAnsi="Arial" w:cs="Arial"/>
        </w:rPr>
        <w:t>Bad Debt</w:t>
      </w:r>
    </w:p>
    <w:p w14:paraId="37285052" w14:textId="77777777" w:rsidR="00682AA1" w:rsidRDefault="00682AA1" w:rsidP="00682AA1">
      <w:pPr>
        <w:pStyle w:val="ListParagraph"/>
        <w:numPr>
          <w:ilvl w:val="0"/>
          <w:numId w:val="8"/>
        </w:numPr>
        <w:rPr>
          <w:rFonts w:ascii="Arial" w:hAnsi="Arial" w:cs="Arial"/>
        </w:rPr>
      </w:pPr>
      <w:r>
        <w:rPr>
          <w:rFonts w:ascii="Arial" w:hAnsi="Arial" w:cs="Arial"/>
        </w:rPr>
        <w:t>Capital Equipment Purchases</w:t>
      </w:r>
    </w:p>
    <w:p w14:paraId="209E1A01" w14:textId="77777777" w:rsidR="00682AA1" w:rsidRDefault="00682AA1" w:rsidP="00682AA1">
      <w:pPr>
        <w:pStyle w:val="ListParagraph"/>
        <w:numPr>
          <w:ilvl w:val="0"/>
          <w:numId w:val="8"/>
        </w:numPr>
        <w:rPr>
          <w:rFonts w:ascii="Arial" w:hAnsi="Arial" w:cs="Arial"/>
        </w:rPr>
      </w:pPr>
      <w:r>
        <w:rPr>
          <w:rFonts w:ascii="Arial" w:hAnsi="Arial" w:cs="Arial"/>
        </w:rPr>
        <w:t>Donations and Contributions</w:t>
      </w:r>
    </w:p>
    <w:p w14:paraId="6C586563" w14:textId="77777777" w:rsidR="00682AA1" w:rsidRDefault="00682AA1" w:rsidP="00682AA1">
      <w:pPr>
        <w:pStyle w:val="ListParagraph"/>
        <w:numPr>
          <w:ilvl w:val="0"/>
          <w:numId w:val="8"/>
        </w:numPr>
        <w:rPr>
          <w:rFonts w:ascii="Arial" w:hAnsi="Arial" w:cs="Arial"/>
        </w:rPr>
      </w:pPr>
      <w:r>
        <w:rPr>
          <w:rFonts w:ascii="Arial" w:hAnsi="Arial" w:cs="Arial"/>
        </w:rPr>
        <w:t>Entertainment</w:t>
      </w:r>
    </w:p>
    <w:p w14:paraId="16367CAE" w14:textId="77777777" w:rsidR="00682AA1" w:rsidRDefault="00682AA1" w:rsidP="00682AA1">
      <w:pPr>
        <w:pStyle w:val="ListParagraph"/>
        <w:numPr>
          <w:ilvl w:val="0"/>
          <w:numId w:val="8"/>
        </w:numPr>
        <w:rPr>
          <w:rFonts w:ascii="Arial" w:hAnsi="Arial" w:cs="Arial"/>
        </w:rPr>
      </w:pPr>
      <w:r>
        <w:rPr>
          <w:rFonts w:ascii="Arial" w:hAnsi="Arial" w:cs="Arial"/>
        </w:rPr>
        <w:t>Fines or Penalties</w:t>
      </w:r>
    </w:p>
    <w:p w14:paraId="4359E079" w14:textId="77777777" w:rsidR="00682AA1" w:rsidRDefault="00682AA1" w:rsidP="00682AA1">
      <w:pPr>
        <w:pStyle w:val="ListParagraph"/>
        <w:numPr>
          <w:ilvl w:val="0"/>
          <w:numId w:val="8"/>
        </w:numPr>
        <w:rPr>
          <w:rFonts w:ascii="Arial" w:hAnsi="Arial" w:cs="Arial"/>
        </w:rPr>
      </w:pPr>
      <w:r>
        <w:rPr>
          <w:rFonts w:ascii="Arial" w:hAnsi="Arial" w:cs="Arial"/>
        </w:rPr>
        <w:t>Gifts</w:t>
      </w:r>
    </w:p>
    <w:p w14:paraId="6A0563D0" w14:textId="77777777" w:rsidR="00682AA1" w:rsidRDefault="00682AA1" w:rsidP="00682AA1">
      <w:pPr>
        <w:pStyle w:val="ListParagraph"/>
        <w:numPr>
          <w:ilvl w:val="0"/>
          <w:numId w:val="8"/>
        </w:numPr>
        <w:rPr>
          <w:rFonts w:ascii="Arial" w:hAnsi="Arial" w:cs="Arial"/>
        </w:rPr>
      </w:pPr>
      <w:r>
        <w:rPr>
          <w:rFonts w:ascii="Arial" w:hAnsi="Arial" w:cs="Arial"/>
        </w:rPr>
        <w:t>Internal Interest</w:t>
      </w:r>
    </w:p>
    <w:p w14:paraId="6BD304F1" w14:textId="77777777" w:rsidR="00682AA1" w:rsidRDefault="00682AA1" w:rsidP="00682AA1">
      <w:pPr>
        <w:pStyle w:val="ListParagraph"/>
        <w:numPr>
          <w:ilvl w:val="0"/>
          <w:numId w:val="8"/>
        </w:numPr>
        <w:rPr>
          <w:rFonts w:ascii="Arial" w:hAnsi="Arial" w:cs="Arial"/>
        </w:rPr>
      </w:pPr>
      <w:r>
        <w:rPr>
          <w:rFonts w:ascii="Arial" w:hAnsi="Arial" w:cs="Arial"/>
        </w:rPr>
        <w:t>Memberships</w:t>
      </w:r>
    </w:p>
    <w:p w14:paraId="19717E59" w14:textId="77777777" w:rsidR="00682AA1" w:rsidRDefault="00682AA1" w:rsidP="00682AA1">
      <w:pPr>
        <w:pStyle w:val="ListParagraph"/>
        <w:numPr>
          <w:ilvl w:val="0"/>
          <w:numId w:val="8"/>
        </w:numPr>
        <w:rPr>
          <w:rFonts w:ascii="Arial" w:hAnsi="Arial" w:cs="Arial"/>
        </w:rPr>
      </w:pPr>
      <w:r>
        <w:rPr>
          <w:rFonts w:ascii="Arial" w:hAnsi="Arial" w:cs="Arial"/>
        </w:rPr>
        <w:t>Salaries over the NIH cap</w:t>
      </w:r>
    </w:p>
    <w:p w14:paraId="3208EC48" w14:textId="77777777" w:rsidR="00682AA1" w:rsidRDefault="00682AA1" w:rsidP="007E1B0F">
      <w:pPr>
        <w:pStyle w:val="ListParagraph"/>
        <w:ind w:left="0"/>
        <w:rPr>
          <w:rFonts w:ascii="Arial" w:hAnsi="Arial" w:cs="Arial"/>
        </w:rPr>
      </w:pPr>
    </w:p>
    <w:p w14:paraId="1B5D58BB" w14:textId="5B9C55CE" w:rsidR="004B5ABD" w:rsidRDefault="004B5ABD" w:rsidP="007D0030">
      <w:pPr>
        <w:pStyle w:val="ListParagraph"/>
        <w:ind w:left="0"/>
        <w:rPr>
          <w:rFonts w:ascii="Arial" w:hAnsi="Arial" w:cs="Arial"/>
        </w:rPr>
      </w:pPr>
      <w:r>
        <w:rPr>
          <w:rFonts w:ascii="Arial" w:hAnsi="Arial" w:cs="Arial"/>
        </w:rPr>
        <w:t xml:space="preserve">A separate rate should be calculated for each </w:t>
      </w:r>
      <w:r w:rsidR="006B4F19">
        <w:rPr>
          <w:rFonts w:ascii="Arial" w:hAnsi="Arial" w:cs="Arial"/>
        </w:rPr>
        <w:t>user type</w:t>
      </w:r>
      <w:r w:rsidR="00C92CF0">
        <w:rPr>
          <w:rFonts w:ascii="Arial" w:hAnsi="Arial" w:cs="Arial"/>
        </w:rPr>
        <w:t>.</w:t>
      </w:r>
    </w:p>
    <w:p w14:paraId="6721B7DA" w14:textId="77777777" w:rsidR="004B5ABD" w:rsidRDefault="004B5ABD" w:rsidP="007D0030">
      <w:pPr>
        <w:pStyle w:val="ListParagraph"/>
        <w:ind w:left="0"/>
        <w:rPr>
          <w:rFonts w:ascii="Arial" w:hAnsi="Arial" w:cs="Arial"/>
        </w:rPr>
      </w:pPr>
    </w:p>
    <w:p w14:paraId="13970FB3" w14:textId="4AA91989" w:rsidR="000F7242" w:rsidRDefault="000F7242" w:rsidP="007D0030">
      <w:pPr>
        <w:pStyle w:val="ListParagraph"/>
        <w:ind w:left="0"/>
        <w:rPr>
          <w:rFonts w:ascii="Arial" w:hAnsi="Arial" w:cs="Arial"/>
        </w:rPr>
      </w:pPr>
      <w:r>
        <w:rPr>
          <w:rFonts w:ascii="Arial" w:hAnsi="Arial" w:cs="Arial"/>
        </w:rPr>
        <w:t>Service Centers offering multiple services should calculate appropriate rates for each service. The goal is to create a billing rate that does not cross-subsidize between services or user groups.</w:t>
      </w:r>
      <w:r w:rsidR="00582754">
        <w:rPr>
          <w:rFonts w:ascii="Arial" w:hAnsi="Arial" w:cs="Arial"/>
        </w:rPr>
        <w:t xml:space="preserve"> Blending costs and </w:t>
      </w:r>
      <w:r w:rsidR="001D13F1">
        <w:rPr>
          <w:rFonts w:ascii="Arial" w:hAnsi="Arial" w:cs="Arial"/>
        </w:rPr>
        <w:t xml:space="preserve">recovery </w:t>
      </w:r>
      <w:r w:rsidR="00582754">
        <w:rPr>
          <w:rFonts w:ascii="Arial" w:hAnsi="Arial" w:cs="Arial"/>
        </w:rPr>
        <w:t>of various servi</w:t>
      </w:r>
      <w:r w:rsidR="00096987">
        <w:rPr>
          <w:rFonts w:ascii="Arial" w:hAnsi="Arial" w:cs="Arial"/>
        </w:rPr>
        <w:t>c</w:t>
      </w:r>
      <w:r w:rsidR="00582754">
        <w:rPr>
          <w:rFonts w:ascii="Arial" w:hAnsi="Arial" w:cs="Arial"/>
        </w:rPr>
        <w:t>es is not allowed if the component costs of each service is different because it would result in lower cost services users subsidizing higher cost service users</w:t>
      </w:r>
      <w:r w:rsidR="00C92CF0">
        <w:rPr>
          <w:rFonts w:ascii="Arial" w:hAnsi="Arial" w:cs="Arial"/>
        </w:rPr>
        <w:t>.</w:t>
      </w:r>
    </w:p>
    <w:p w14:paraId="2541EFEA" w14:textId="77777777" w:rsidR="00BD1FCA" w:rsidRDefault="00BD1FCA" w:rsidP="007D0030">
      <w:pPr>
        <w:pStyle w:val="ListParagraph"/>
        <w:ind w:left="0"/>
        <w:rPr>
          <w:rFonts w:ascii="Arial" w:hAnsi="Arial" w:cs="Arial"/>
        </w:rPr>
      </w:pPr>
    </w:p>
    <w:p w14:paraId="6D9DAC16" w14:textId="77777777" w:rsidR="006B4F19" w:rsidRDefault="006B4F19" w:rsidP="007D0030">
      <w:pPr>
        <w:pStyle w:val="ListParagraph"/>
        <w:ind w:left="0"/>
        <w:rPr>
          <w:rFonts w:ascii="Arial" w:hAnsi="Arial" w:cs="Arial"/>
        </w:rPr>
      </w:pPr>
    </w:p>
    <w:p w14:paraId="54DFBE27" w14:textId="77777777" w:rsidR="006B4F19" w:rsidRDefault="006B4F19" w:rsidP="007D0030">
      <w:pPr>
        <w:pStyle w:val="ListParagraph"/>
        <w:ind w:left="0"/>
        <w:rPr>
          <w:rFonts w:ascii="Arial" w:hAnsi="Arial" w:cs="Arial"/>
        </w:rPr>
      </w:pPr>
    </w:p>
    <w:p w14:paraId="268EC93E" w14:textId="77777777" w:rsidR="00357425" w:rsidRDefault="00357425" w:rsidP="007D0030">
      <w:pPr>
        <w:pStyle w:val="ListParagraph"/>
        <w:ind w:left="0"/>
        <w:rPr>
          <w:rFonts w:ascii="Arial" w:hAnsi="Arial" w:cs="Arial"/>
        </w:rPr>
      </w:pPr>
    </w:p>
    <w:p w14:paraId="4ECB18A7" w14:textId="77777777" w:rsidR="00357425" w:rsidRDefault="00357425" w:rsidP="007D0030">
      <w:pPr>
        <w:pStyle w:val="ListParagraph"/>
        <w:ind w:left="0"/>
        <w:rPr>
          <w:rFonts w:ascii="Arial" w:hAnsi="Arial" w:cs="Arial"/>
        </w:rPr>
      </w:pPr>
    </w:p>
    <w:p w14:paraId="607DA34C" w14:textId="77777777" w:rsidR="00A33F3C" w:rsidRDefault="00A33F3C" w:rsidP="007D0030">
      <w:pPr>
        <w:pStyle w:val="ListParagraph"/>
        <w:ind w:left="0"/>
        <w:rPr>
          <w:rFonts w:ascii="Arial" w:hAnsi="Arial" w:cs="Arial"/>
        </w:rPr>
      </w:pPr>
    </w:p>
    <w:p w14:paraId="4EEE7246" w14:textId="77777777" w:rsidR="00A33F3C" w:rsidRDefault="00A33F3C" w:rsidP="007D0030">
      <w:pPr>
        <w:pStyle w:val="ListParagraph"/>
        <w:ind w:left="0"/>
        <w:rPr>
          <w:rFonts w:ascii="Arial" w:hAnsi="Arial" w:cs="Arial"/>
        </w:rPr>
      </w:pPr>
    </w:p>
    <w:p w14:paraId="2CA2D533" w14:textId="77777777" w:rsidR="00096987" w:rsidRDefault="00096987" w:rsidP="00096987">
      <w:pPr>
        <w:pStyle w:val="ListParagraph"/>
        <w:ind w:left="0"/>
        <w:rPr>
          <w:rFonts w:ascii="Arial" w:hAnsi="Arial" w:cs="Arial"/>
          <w:b/>
          <w:u w:val="single"/>
        </w:rPr>
      </w:pPr>
      <w:r w:rsidRPr="000B376F">
        <w:rPr>
          <w:rFonts w:ascii="Arial" w:hAnsi="Arial" w:cs="Arial"/>
          <w:b/>
          <w:u w:val="single"/>
        </w:rPr>
        <w:t xml:space="preserve">Break-Even Period </w:t>
      </w:r>
    </w:p>
    <w:p w14:paraId="7DD9E356" w14:textId="77777777" w:rsidR="00096987" w:rsidRPr="000B376F" w:rsidRDefault="00096987" w:rsidP="00096987">
      <w:pPr>
        <w:pStyle w:val="PlainText"/>
        <w:rPr>
          <w:rFonts w:ascii="Arial" w:hAnsi="Arial" w:cs="Arial"/>
          <w:sz w:val="22"/>
          <w:szCs w:val="22"/>
        </w:rPr>
      </w:pPr>
      <w:r w:rsidRPr="000F7242">
        <w:rPr>
          <w:rFonts w:ascii="Arial" w:hAnsi="Arial" w:cs="Arial"/>
          <w:i/>
          <w:sz w:val="22"/>
          <w:szCs w:val="22"/>
          <w:u w:val="single"/>
        </w:rPr>
        <w:t>University Service Centers</w:t>
      </w:r>
      <w:r w:rsidRPr="000B376F">
        <w:rPr>
          <w:rFonts w:ascii="Arial" w:hAnsi="Arial" w:cs="Arial"/>
          <w:sz w:val="22"/>
          <w:szCs w:val="22"/>
        </w:rPr>
        <w:t xml:space="preserve"> should perform its operations to break-even over a </w:t>
      </w:r>
      <w:r w:rsidR="00357425" w:rsidRPr="000B376F">
        <w:rPr>
          <w:rFonts w:ascii="Arial" w:hAnsi="Arial" w:cs="Arial"/>
          <w:sz w:val="22"/>
          <w:szCs w:val="22"/>
        </w:rPr>
        <w:t>period</w:t>
      </w:r>
      <w:r w:rsidRPr="000B376F">
        <w:rPr>
          <w:rFonts w:ascii="Arial" w:hAnsi="Arial" w:cs="Arial"/>
          <w:sz w:val="22"/>
          <w:szCs w:val="22"/>
        </w:rPr>
        <w:t xml:space="preserve">. The </w:t>
      </w:r>
      <w:r w:rsidR="00C84083" w:rsidRPr="000B376F">
        <w:rPr>
          <w:rFonts w:ascii="Arial" w:hAnsi="Arial" w:cs="Arial"/>
          <w:sz w:val="22"/>
          <w:szCs w:val="22"/>
        </w:rPr>
        <w:t>period</w:t>
      </w:r>
      <w:r w:rsidRPr="000B376F">
        <w:rPr>
          <w:rFonts w:ascii="Arial" w:hAnsi="Arial" w:cs="Arial"/>
          <w:sz w:val="22"/>
          <w:szCs w:val="22"/>
        </w:rPr>
        <w:t xml:space="preserve"> should be no less than one year and no greater than five years.</w:t>
      </w:r>
    </w:p>
    <w:p w14:paraId="2AF343F8" w14:textId="77777777" w:rsidR="00096987" w:rsidRDefault="00096987" w:rsidP="00096987">
      <w:pPr>
        <w:pStyle w:val="ListParagraph"/>
        <w:ind w:left="0"/>
        <w:rPr>
          <w:rFonts w:ascii="Arial" w:hAnsi="Arial" w:cs="Arial"/>
        </w:rPr>
      </w:pPr>
    </w:p>
    <w:p w14:paraId="51833FF5" w14:textId="77777777" w:rsidR="00096987" w:rsidRDefault="00096987" w:rsidP="00096987">
      <w:pPr>
        <w:pStyle w:val="ListParagraph"/>
        <w:ind w:left="0"/>
        <w:rPr>
          <w:rFonts w:ascii="Arial" w:hAnsi="Arial" w:cs="Arial"/>
        </w:rPr>
      </w:pPr>
      <w:r w:rsidRPr="000F7242">
        <w:rPr>
          <w:rFonts w:ascii="Arial" w:hAnsi="Arial" w:cs="Arial"/>
          <w:i/>
          <w:u w:val="single"/>
        </w:rPr>
        <w:t>Departmental Service Centers</w:t>
      </w:r>
      <w:r>
        <w:rPr>
          <w:rFonts w:ascii="Arial" w:hAnsi="Arial" w:cs="Arial"/>
        </w:rPr>
        <w:t xml:space="preserve"> should perform its operations to break-even over a one-year period.</w:t>
      </w:r>
    </w:p>
    <w:p w14:paraId="3339830E" w14:textId="77777777" w:rsidR="00BA52EF" w:rsidRDefault="00BA52EF" w:rsidP="00096987">
      <w:pPr>
        <w:pStyle w:val="ListParagraph"/>
        <w:ind w:left="0"/>
        <w:rPr>
          <w:rFonts w:ascii="Arial" w:hAnsi="Arial" w:cs="Arial"/>
        </w:rPr>
      </w:pPr>
    </w:p>
    <w:p w14:paraId="40657CE3" w14:textId="77777777" w:rsidR="006B4F19" w:rsidRDefault="006B4F19" w:rsidP="00096987">
      <w:pPr>
        <w:pStyle w:val="ListParagraph"/>
        <w:ind w:left="0"/>
        <w:rPr>
          <w:rFonts w:ascii="Arial" w:hAnsi="Arial" w:cs="Arial"/>
        </w:rPr>
      </w:pPr>
    </w:p>
    <w:p w14:paraId="1074F147" w14:textId="77777777" w:rsidR="004619DD" w:rsidRPr="004B5ABD" w:rsidRDefault="004B5ABD" w:rsidP="007D0030">
      <w:pPr>
        <w:pStyle w:val="ListParagraph"/>
        <w:ind w:left="0"/>
        <w:rPr>
          <w:rFonts w:ascii="Arial" w:hAnsi="Arial" w:cs="Arial"/>
          <w:b/>
          <w:u w:val="single"/>
        </w:rPr>
      </w:pPr>
      <w:r w:rsidRPr="004B5ABD">
        <w:rPr>
          <w:rFonts w:ascii="Arial" w:hAnsi="Arial" w:cs="Arial"/>
          <w:b/>
          <w:u w:val="single"/>
        </w:rPr>
        <w:t>Rate Calculation</w:t>
      </w:r>
    </w:p>
    <w:p w14:paraId="7158D7FA" w14:textId="77777777" w:rsidR="004B5ABD" w:rsidRDefault="004B5ABD" w:rsidP="007D0030">
      <w:pPr>
        <w:pStyle w:val="ListParagraph"/>
        <w:ind w:left="0"/>
        <w:rPr>
          <w:rFonts w:ascii="Arial" w:hAnsi="Arial" w:cs="Arial"/>
        </w:rPr>
      </w:pPr>
    </w:p>
    <w:p w14:paraId="786291F2" w14:textId="666C2665" w:rsidR="004619DD" w:rsidRDefault="004B5ABD" w:rsidP="007D0030">
      <w:pPr>
        <w:pStyle w:val="ListParagraph"/>
        <w:ind w:left="0"/>
        <w:rPr>
          <w:rFonts w:ascii="Arial" w:hAnsi="Arial" w:cs="Arial"/>
        </w:rPr>
      </w:pPr>
      <w:r>
        <w:rPr>
          <w:rFonts w:ascii="Arial" w:hAnsi="Arial" w:cs="Arial"/>
        </w:rPr>
        <w:t>A Service Center rate is the cost per unit of goods or services sold set to recover the expense of providing the good or services and achieve a break</w:t>
      </w:r>
      <w:r w:rsidR="00225C73" w:rsidRPr="00225C73">
        <w:rPr>
          <w:rFonts w:ascii="Arial" w:hAnsi="Arial" w:cs="Arial"/>
        </w:rPr>
        <w:t>-</w:t>
      </w:r>
      <w:r>
        <w:rPr>
          <w:rFonts w:ascii="Arial" w:hAnsi="Arial" w:cs="Arial"/>
        </w:rPr>
        <w:t xml:space="preserve">even financial position. </w:t>
      </w:r>
      <w:r w:rsidR="00BA52EF">
        <w:rPr>
          <w:rFonts w:ascii="Arial" w:hAnsi="Arial" w:cs="Arial"/>
        </w:rPr>
        <w:t xml:space="preserve">The use of an appropriate billable unit is essential to </w:t>
      </w:r>
      <w:r w:rsidR="00BD1FCA">
        <w:rPr>
          <w:rFonts w:ascii="Arial" w:hAnsi="Arial" w:cs="Arial"/>
        </w:rPr>
        <w:t>ensuring</w:t>
      </w:r>
      <w:r w:rsidR="00BA52EF">
        <w:rPr>
          <w:rFonts w:ascii="Arial" w:hAnsi="Arial" w:cs="Arial"/>
        </w:rPr>
        <w:t xml:space="preserve"> that users are charged only their fair share of the actual costs.</w:t>
      </w:r>
    </w:p>
    <w:p w14:paraId="7885E221" w14:textId="77777777" w:rsidR="00BA52EF" w:rsidRDefault="00BA52EF" w:rsidP="007D0030">
      <w:pPr>
        <w:pStyle w:val="ListParagraph"/>
        <w:ind w:left="0"/>
        <w:rPr>
          <w:rFonts w:ascii="Arial" w:hAnsi="Arial" w:cs="Arial"/>
        </w:rPr>
      </w:pPr>
    </w:p>
    <w:p w14:paraId="4340F783" w14:textId="7CFA481E" w:rsidR="00BA52EF" w:rsidRDefault="00BA52EF" w:rsidP="007D0030">
      <w:pPr>
        <w:pStyle w:val="ListParagraph"/>
        <w:ind w:left="0"/>
        <w:rPr>
          <w:rFonts w:ascii="Arial" w:hAnsi="Arial" w:cs="Arial"/>
        </w:rPr>
      </w:pPr>
      <w:r>
        <w:rPr>
          <w:rFonts w:ascii="Arial" w:hAnsi="Arial" w:cs="Arial"/>
        </w:rPr>
        <w:t>Rates are based on budge</w:t>
      </w:r>
      <w:r w:rsidR="00F35B7F">
        <w:rPr>
          <w:rFonts w:ascii="Arial" w:hAnsi="Arial" w:cs="Arial"/>
        </w:rPr>
        <w:t>te</w:t>
      </w:r>
      <w:r>
        <w:rPr>
          <w:rFonts w:ascii="Arial" w:hAnsi="Arial" w:cs="Arial"/>
        </w:rPr>
        <w:t>d projections of operating expense, including the carryforward surplus/deficit divided by projected levels of activity (billable units).</w:t>
      </w:r>
    </w:p>
    <w:p w14:paraId="2E64293E" w14:textId="77777777" w:rsidR="00BA52EF" w:rsidRDefault="00BA52EF" w:rsidP="007D0030">
      <w:pPr>
        <w:pStyle w:val="ListParagraph"/>
        <w:ind w:left="0"/>
        <w:rPr>
          <w:rFonts w:ascii="Arial" w:hAnsi="Arial" w:cs="Arial"/>
        </w:rPr>
      </w:pPr>
    </w:p>
    <w:p w14:paraId="538F0265" w14:textId="77777777" w:rsidR="00BA52EF" w:rsidRPr="00BA52EF" w:rsidRDefault="00BA52EF" w:rsidP="00BA52EF">
      <w:pPr>
        <w:pStyle w:val="ListParagraph"/>
        <w:ind w:left="0"/>
        <w:jc w:val="center"/>
        <w:rPr>
          <w:rFonts w:ascii="Arial" w:hAnsi="Arial" w:cs="Arial"/>
          <w:u w:val="single"/>
        </w:rPr>
      </w:pPr>
      <w:r w:rsidRPr="00BA52EF">
        <w:rPr>
          <w:rFonts w:ascii="Arial" w:hAnsi="Arial" w:cs="Arial"/>
          <w:u w:val="single"/>
        </w:rPr>
        <w:t xml:space="preserve">Budgeted </w:t>
      </w:r>
      <w:r w:rsidR="00BD1FCA" w:rsidRPr="00BA52EF">
        <w:rPr>
          <w:rFonts w:ascii="Arial" w:hAnsi="Arial" w:cs="Arial"/>
          <w:u w:val="single"/>
        </w:rPr>
        <w:t>Expenses</w:t>
      </w:r>
      <w:r w:rsidRPr="00BA52EF">
        <w:rPr>
          <w:rFonts w:ascii="Arial" w:hAnsi="Arial" w:cs="Arial"/>
          <w:u w:val="single"/>
        </w:rPr>
        <w:t xml:space="preserve"> +/- </w:t>
      </w:r>
      <w:r>
        <w:rPr>
          <w:rFonts w:ascii="Arial" w:hAnsi="Arial" w:cs="Arial"/>
          <w:u w:val="single"/>
        </w:rPr>
        <w:t>Cumulative Carryforward</w:t>
      </w:r>
      <w:r w:rsidRPr="00BA52EF">
        <w:rPr>
          <w:rFonts w:ascii="Arial" w:hAnsi="Arial" w:cs="Arial"/>
          <w:u w:val="single"/>
        </w:rPr>
        <w:t xml:space="preserve"> Surplus/Deficit</w:t>
      </w:r>
    </w:p>
    <w:p w14:paraId="305BB27C" w14:textId="77777777" w:rsidR="004B5ABD" w:rsidRDefault="00BA52EF" w:rsidP="00BA52EF">
      <w:pPr>
        <w:pStyle w:val="ListParagraph"/>
        <w:ind w:left="0"/>
        <w:jc w:val="center"/>
        <w:rPr>
          <w:rFonts w:ascii="Arial" w:hAnsi="Arial" w:cs="Arial"/>
        </w:rPr>
      </w:pPr>
      <w:r>
        <w:rPr>
          <w:rFonts w:ascii="Arial" w:hAnsi="Arial" w:cs="Arial"/>
        </w:rPr>
        <w:t>Projected Level of Sales of Goods/Services (Billable Units)</w:t>
      </w:r>
    </w:p>
    <w:p w14:paraId="48DB1810" w14:textId="77777777" w:rsidR="00BA52EF" w:rsidRDefault="00BA52EF" w:rsidP="00BA52EF">
      <w:pPr>
        <w:pStyle w:val="ListParagraph"/>
        <w:ind w:left="0"/>
        <w:jc w:val="center"/>
        <w:rPr>
          <w:rFonts w:ascii="Arial" w:hAnsi="Arial" w:cs="Arial"/>
        </w:rPr>
      </w:pPr>
    </w:p>
    <w:p w14:paraId="1836EF90" w14:textId="77777777" w:rsidR="00BA52EF" w:rsidRDefault="00BA52EF" w:rsidP="00BA52EF">
      <w:pPr>
        <w:pStyle w:val="ListParagraph"/>
        <w:ind w:left="0"/>
        <w:rPr>
          <w:rFonts w:ascii="Arial" w:hAnsi="Arial" w:cs="Arial"/>
        </w:rPr>
      </w:pPr>
      <w:r w:rsidRPr="00BA52EF">
        <w:rPr>
          <w:rFonts w:ascii="Arial" w:hAnsi="Arial" w:cs="Arial"/>
        </w:rPr>
        <w:t xml:space="preserve">A billable unit is the measurement used to identify the specific goods or services provided by the Service Center. </w:t>
      </w:r>
    </w:p>
    <w:p w14:paraId="0E91214F" w14:textId="77777777" w:rsidR="006B4F19" w:rsidRDefault="006B4F19" w:rsidP="00BA52EF">
      <w:pPr>
        <w:pStyle w:val="ListParagraph"/>
        <w:ind w:left="0"/>
        <w:rPr>
          <w:rFonts w:ascii="Arial" w:hAnsi="Arial" w:cs="Arial"/>
        </w:rPr>
      </w:pPr>
    </w:p>
    <w:p w14:paraId="70B79DCD" w14:textId="77777777" w:rsidR="00BA52EF" w:rsidRDefault="00BA52EF" w:rsidP="00BA52EF">
      <w:pPr>
        <w:pStyle w:val="ListParagraph"/>
        <w:ind w:left="0"/>
        <w:rPr>
          <w:rFonts w:ascii="Arial" w:hAnsi="Arial" w:cs="Arial"/>
        </w:rPr>
      </w:pPr>
      <w:r>
        <w:rPr>
          <w:rFonts w:ascii="Arial" w:hAnsi="Arial" w:cs="Arial"/>
        </w:rPr>
        <w:t>Examples of Billable Units Include:</w:t>
      </w:r>
    </w:p>
    <w:p w14:paraId="4F2DB3F6" w14:textId="77777777" w:rsidR="00BA52EF" w:rsidRDefault="00BA52EF" w:rsidP="00BA52EF">
      <w:pPr>
        <w:pStyle w:val="ListParagraph"/>
        <w:numPr>
          <w:ilvl w:val="0"/>
          <w:numId w:val="11"/>
        </w:numPr>
        <w:rPr>
          <w:rFonts w:ascii="Arial" w:hAnsi="Arial" w:cs="Arial"/>
        </w:rPr>
      </w:pPr>
      <w:r>
        <w:rPr>
          <w:rFonts w:ascii="Arial" w:hAnsi="Arial" w:cs="Arial"/>
        </w:rPr>
        <w:t>Labor Hours</w:t>
      </w:r>
    </w:p>
    <w:p w14:paraId="275DD330" w14:textId="77777777" w:rsidR="00BA52EF" w:rsidRDefault="00BA52EF" w:rsidP="00BA52EF">
      <w:pPr>
        <w:pStyle w:val="ListParagraph"/>
        <w:numPr>
          <w:ilvl w:val="0"/>
          <w:numId w:val="11"/>
        </w:numPr>
        <w:rPr>
          <w:rFonts w:ascii="Arial" w:hAnsi="Arial" w:cs="Arial"/>
        </w:rPr>
      </w:pPr>
      <w:r>
        <w:rPr>
          <w:rFonts w:ascii="Arial" w:hAnsi="Arial" w:cs="Arial"/>
        </w:rPr>
        <w:t>Machine Hours</w:t>
      </w:r>
    </w:p>
    <w:p w14:paraId="557BA4B7" w14:textId="77777777" w:rsidR="00BA52EF" w:rsidRDefault="00BA52EF" w:rsidP="00BA52EF">
      <w:pPr>
        <w:pStyle w:val="ListParagraph"/>
        <w:numPr>
          <w:ilvl w:val="0"/>
          <w:numId w:val="11"/>
        </w:numPr>
        <w:rPr>
          <w:rFonts w:ascii="Arial" w:hAnsi="Arial" w:cs="Arial"/>
        </w:rPr>
      </w:pPr>
      <w:r>
        <w:rPr>
          <w:rFonts w:ascii="Arial" w:hAnsi="Arial" w:cs="Arial"/>
        </w:rPr>
        <w:t>Unit Cost</w:t>
      </w:r>
    </w:p>
    <w:p w14:paraId="036AD6E0" w14:textId="77777777" w:rsidR="00BA52EF" w:rsidRDefault="00BA52EF" w:rsidP="00BA52EF">
      <w:pPr>
        <w:pStyle w:val="ListParagraph"/>
        <w:numPr>
          <w:ilvl w:val="0"/>
          <w:numId w:val="11"/>
        </w:numPr>
        <w:rPr>
          <w:rFonts w:ascii="Arial" w:hAnsi="Arial" w:cs="Arial"/>
        </w:rPr>
      </w:pPr>
      <w:r>
        <w:rPr>
          <w:rFonts w:ascii="Arial" w:hAnsi="Arial" w:cs="Arial"/>
        </w:rPr>
        <w:t>Number of Samples</w:t>
      </w:r>
    </w:p>
    <w:p w14:paraId="34C21369" w14:textId="77777777" w:rsidR="00BA52EF" w:rsidRDefault="00BA52EF" w:rsidP="00BA52EF">
      <w:pPr>
        <w:pStyle w:val="ListParagraph"/>
        <w:numPr>
          <w:ilvl w:val="0"/>
          <w:numId w:val="11"/>
        </w:numPr>
        <w:rPr>
          <w:rFonts w:ascii="Arial" w:hAnsi="Arial" w:cs="Arial"/>
        </w:rPr>
      </w:pPr>
      <w:r>
        <w:rPr>
          <w:rFonts w:ascii="Arial" w:hAnsi="Arial" w:cs="Arial"/>
        </w:rPr>
        <w:t>Tests Performed</w:t>
      </w:r>
    </w:p>
    <w:p w14:paraId="146F7A4A" w14:textId="77777777" w:rsidR="00A82F29" w:rsidRDefault="00A82F29" w:rsidP="00A82F29">
      <w:pPr>
        <w:pStyle w:val="ListParagraph"/>
        <w:rPr>
          <w:rFonts w:ascii="Arial" w:hAnsi="Arial" w:cs="Arial"/>
        </w:rPr>
      </w:pPr>
    </w:p>
    <w:p w14:paraId="13B325E1" w14:textId="77777777" w:rsidR="00A82F29" w:rsidRPr="00A82F29" w:rsidRDefault="00A82F29" w:rsidP="00A82F29">
      <w:pPr>
        <w:pStyle w:val="ListParagraph"/>
        <w:ind w:left="0"/>
        <w:rPr>
          <w:rFonts w:ascii="Arial" w:hAnsi="Arial" w:cs="Arial"/>
        </w:rPr>
      </w:pPr>
      <w:r w:rsidRPr="00A82F29">
        <w:rPr>
          <w:rFonts w:ascii="Arial" w:hAnsi="Arial" w:cs="Arial"/>
        </w:rPr>
        <w:t>For example, a microscope costs approximately $100,000 per year to operate and has an</w:t>
      </w:r>
    </w:p>
    <w:p w14:paraId="5AC0D6AB" w14:textId="77777777" w:rsidR="00A82F29" w:rsidRPr="00A82F29" w:rsidRDefault="00A82F29" w:rsidP="00A82F29">
      <w:pPr>
        <w:pStyle w:val="ListParagraph"/>
        <w:ind w:left="0"/>
        <w:rPr>
          <w:rFonts w:ascii="Arial" w:hAnsi="Arial" w:cs="Arial"/>
        </w:rPr>
      </w:pPr>
      <w:r w:rsidRPr="00A82F29">
        <w:rPr>
          <w:rFonts w:ascii="Arial" w:hAnsi="Arial" w:cs="Arial"/>
        </w:rPr>
        <w:t>estimated usage (activity level) of 2,000 hours during the year. The resulting hourly rate would</w:t>
      </w:r>
    </w:p>
    <w:p w14:paraId="32F84539" w14:textId="77777777" w:rsidR="00A82F29" w:rsidRDefault="00A82F29" w:rsidP="00A82F29">
      <w:pPr>
        <w:pStyle w:val="ListParagraph"/>
        <w:ind w:left="0"/>
        <w:rPr>
          <w:rFonts w:ascii="Arial" w:hAnsi="Arial" w:cs="Arial"/>
        </w:rPr>
      </w:pPr>
      <w:r w:rsidRPr="00A82F29">
        <w:rPr>
          <w:rFonts w:ascii="Arial" w:hAnsi="Arial" w:cs="Arial"/>
        </w:rPr>
        <w:t>be calculated as $100,000/2000 hours = $50.00 per hour. A resear</w:t>
      </w:r>
      <w:r w:rsidR="00BD1FCA">
        <w:rPr>
          <w:rFonts w:ascii="Arial" w:hAnsi="Arial" w:cs="Arial"/>
        </w:rPr>
        <w:t xml:space="preserve">cher using the microscope for 4 </w:t>
      </w:r>
      <w:r w:rsidRPr="00A82F29">
        <w:rPr>
          <w:rFonts w:ascii="Arial" w:hAnsi="Arial" w:cs="Arial"/>
        </w:rPr>
        <w:t>hours would then be charged $200.00, or 4 x $50.00.</w:t>
      </w:r>
    </w:p>
    <w:p w14:paraId="79847325" w14:textId="77777777" w:rsidR="00F3374C" w:rsidRDefault="00F3374C" w:rsidP="00A82F29">
      <w:pPr>
        <w:pStyle w:val="ListParagraph"/>
        <w:ind w:left="0"/>
        <w:rPr>
          <w:rFonts w:ascii="Arial" w:hAnsi="Arial" w:cs="Arial"/>
        </w:rPr>
      </w:pPr>
    </w:p>
    <w:p w14:paraId="694251AB" w14:textId="77777777" w:rsidR="00A82F29" w:rsidRDefault="00F3374C" w:rsidP="00BA52EF">
      <w:pPr>
        <w:pStyle w:val="ListParagraph"/>
        <w:ind w:left="0"/>
        <w:rPr>
          <w:rFonts w:ascii="Arial" w:hAnsi="Arial" w:cs="Arial"/>
          <w:b/>
          <w:u w:val="single"/>
        </w:rPr>
      </w:pPr>
      <w:r>
        <w:rPr>
          <w:rFonts w:ascii="Arial" w:hAnsi="Arial" w:cs="Arial"/>
        </w:rPr>
        <w:t>Rate calculations are to be submitted during the rate approval process.</w:t>
      </w:r>
    </w:p>
    <w:p w14:paraId="3043F772" w14:textId="77777777" w:rsidR="00F3374C" w:rsidRDefault="00F3374C" w:rsidP="00BA52EF">
      <w:pPr>
        <w:pStyle w:val="ListParagraph"/>
        <w:ind w:left="0"/>
        <w:rPr>
          <w:rFonts w:ascii="Arial" w:hAnsi="Arial" w:cs="Arial"/>
          <w:b/>
          <w:u w:val="single"/>
        </w:rPr>
      </w:pPr>
    </w:p>
    <w:p w14:paraId="3A78A097" w14:textId="77777777" w:rsidR="00357425" w:rsidRDefault="00357425" w:rsidP="00BA52EF">
      <w:pPr>
        <w:pStyle w:val="ListParagraph"/>
        <w:ind w:left="0"/>
        <w:rPr>
          <w:rFonts w:ascii="Arial" w:hAnsi="Arial" w:cs="Arial"/>
          <w:b/>
          <w:u w:val="single"/>
        </w:rPr>
      </w:pPr>
    </w:p>
    <w:p w14:paraId="40B581F8" w14:textId="77777777" w:rsidR="00357425" w:rsidRDefault="00357425" w:rsidP="00BA52EF">
      <w:pPr>
        <w:pStyle w:val="ListParagraph"/>
        <w:ind w:left="0"/>
        <w:rPr>
          <w:rFonts w:ascii="Arial" w:hAnsi="Arial" w:cs="Arial"/>
          <w:b/>
          <w:u w:val="single"/>
        </w:rPr>
      </w:pPr>
    </w:p>
    <w:p w14:paraId="0E47DB04" w14:textId="77777777" w:rsidR="00357425" w:rsidRDefault="00357425" w:rsidP="00BA52EF">
      <w:pPr>
        <w:pStyle w:val="ListParagraph"/>
        <w:ind w:left="0"/>
        <w:rPr>
          <w:rFonts w:ascii="Arial" w:hAnsi="Arial" w:cs="Arial"/>
          <w:b/>
          <w:u w:val="single"/>
        </w:rPr>
      </w:pPr>
    </w:p>
    <w:p w14:paraId="75A9ECB6" w14:textId="77777777" w:rsidR="00357425" w:rsidRDefault="00357425" w:rsidP="00BA52EF">
      <w:pPr>
        <w:pStyle w:val="ListParagraph"/>
        <w:ind w:left="0"/>
        <w:rPr>
          <w:rFonts w:ascii="Arial" w:hAnsi="Arial" w:cs="Arial"/>
          <w:b/>
          <w:u w:val="single"/>
        </w:rPr>
      </w:pPr>
    </w:p>
    <w:p w14:paraId="12EAEE2B" w14:textId="77777777" w:rsidR="00357425" w:rsidRDefault="00357425" w:rsidP="00BA52EF">
      <w:pPr>
        <w:pStyle w:val="ListParagraph"/>
        <w:ind w:left="0"/>
        <w:rPr>
          <w:rFonts w:ascii="Arial" w:hAnsi="Arial" w:cs="Arial"/>
          <w:b/>
          <w:u w:val="single"/>
        </w:rPr>
      </w:pPr>
    </w:p>
    <w:p w14:paraId="59BF9866" w14:textId="77777777" w:rsidR="00357425" w:rsidRDefault="00357425" w:rsidP="00BA52EF">
      <w:pPr>
        <w:pStyle w:val="ListParagraph"/>
        <w:ind w:left="0"/>
        <w:rPr>
          <w:rFonts w:ascii="Arial" w:hAnsi="Arial" w:cs="Arial"/>
          <w:b/>
          <w:u w:val="single"/>
        </w:rPr>
      </w:pPr>
    </w:p>
    <w:p w14:paraId="26466469" w14:textId="77777777" w:rsidR="00357425" w:rsidRDefault="00357425" w:rsidP="00BA52EF">
      <w:pPr>
        <w:pStyle w:val="ListParagraph"/>
        <w:ind w:left="0"/>
        <w:rPr>
          <w:rFonts w:ascii="Arial" w:hAnsi="Arial" w:cs="Arial"/>
          <w:b/>
          <w:u w:val="single"/>
        </w:rPr>
      </w:pPr>
    </w:p>
    <w:p w14:paraId="7586E470" w14:textId="77777777" w:rsidR="00357425" w:rsidRDefault="00357425" w:rsidP="00BA52EF">
      <w:pPr>
        <w:pStyle w:val="ListParagraph"/>
        <w:ind w:left="0"/>
        <w:rPr>
          <w:rFonts w:ascii="Arial" w:hAnsi="Arial" w:cs="Arial"/>
          <w:b/>
          <w:u w:val="single"/>
        </w:rPr>
      </w:pPr>
    </w:p>
    <w:p w14:paraId="52F683CA" w14:textId="77777777" w:rsidR="00357425" w:rsidRDefault="00357425" w:rsidP="00BA52EF">
      <w:pPr>
        <w:pStyle w:val="ListParagraph"/>
        <w:ind w:left="0"/>
        <w:rPr>
          <w:rFonts w:ascii="Arial" w:hAnsi="Arial" w:cs="Arial"/>
          <w:b/>
          <w:u w:val="single"/>
        </w:rPr>
      </w:pPr>
    </w:p>
    <w:p w14:paraId="562AB3D3" w14:textId="77777777" w:rsidR="00BA52EF" w:rsidRPr="001421B0" w:rsidRDefault="00BA52EF" w:rsidP="00BA52EF">
      <w:pPr>
        <w:pStyle w:val="ListParagraph"/>
        <w:ind w:left="0"/>
        <w:rPr>
          <w:rFonts w:ascii="Arial" w:hAnsi="Arial" w:cs="Arial"/>
          <w:b/>
          <w:u w:val="single"/>
        </w:rPr>
      </w:pPr>
      <w:r w:rsidRPr="001421B0">
        <w:rPr>
          <w:rFonts w:ascii="Arial" w:hAnsi="Arial" w:cs="Arial"/>
          <w:b/>
          <w:u w:val="single"/>
        </w:rPr>
        <w:t>Surplus &amp; Deficit Carryforward Balances</w:t>
      </w:r>
    </w:p>
    <w:p w14:paraId="3F417E85" w14:textId="77777777" w:rsidR="00BA52EF" w:rsidRDefault="00BA52EF" w:rsidP="00BA52EF">
      <w:pPr>
        <w:pStyle w:val="ListParagraph"/>
        <w:ind w:left="0"/>
        <w:rPr>
          <w:rFonts w:ascii="Arial" w:hAnsi="Arial" w:cs="Arial"/>
        </w:rPr>
      </w:pPr>
    </w:p>
    <w:p w14:paraId="4E9F7820" w14:textId="3A53E7AB" w:rsidR="00BA52EF" w:rsidRDefault="00BA52EF" w:rsidP="00BA52EF">
      <w:pPr>
        <w:pStyle w:val="ListParagraph"/>
        <w:ind w:left="0"/>
        <w:rPr>
          <w:rFonts w:ascii="Arial" w:hAnsi="Arial" w:cs="Arial"/>
        </w:rPr>
      </w:pPr>
      <w:r>
        <w:rPr>
          <w:rFonts w:ascii="Arial" w:hAnsi="Arial" w:cs="Arial"/>
        </w:rPr>
        <w:t>A service center’s surplus should not exceed the allowable 60 day working capital limit. Service Centers should operate at break</w:t>
      </w:r>
      <w:r w:rsidR="00225C73">
        <w:rPr>
          <w:rFonts w:ascii="Arial" w:hAnsi="Arial" w:cs="Arial"/>
        </w:rPr>
        <w:t>-</w:t>
      </w:r>
      <w:r>
        <w:rPr>
          <w:rFonts w:ascii="Arial" w:hAnsi="Arial" w:cs="Arial"/>
        </w:rPr>
        <w:t xml:space="preserve">even (i.e., </w:t>
      </w:r>
      <w:r w:rsidR="001D13F1">
        <w:rPr>
          <w:rFonts w:ascii="Arial" w:hAnsi="Arial" w:cs="Arial"/>
        </w:rPr>
        <w:t xml:space="preserve">recovery </w:t>
      </w:r>
      <w:r>
        <w:rPr>
          <w:rFonts w:ascii="Arial" w:hAnsi="Arial" w:cs="Arial"/>
        </w:rPr>
        <w:t>= expenses) over the budget period. The federal government allows for over-recoveries and under-recoveries, provided that, upon determining that the break</w:t>
      </w:r>
      <w:r w:rsidR="00225C73">
        <w:rPr>
          <w:rFonts w:ascii="Arial" w:hAnsi="Arial" w:cs="Arial"/>
        </w:rPr>
        <w:t>-</w:t>
      </w:r>
      <w:r>
        <w:rPr>
          <w:rFonts w:ascii="Arial" w:hAnsi="Arial" w:cs="Arial"/>
        </w:rPr>
        <w:t>even was not achieved, rates are adjusted accordingly by incorporating such over-recoveries and under-recoveries into subsequent years’ rates.</w:t>
      </w:r>
    </w:p>
    <w:p w14:paraId="56D04C39" w14:textId="77777777" w:rsidR="00BA52EF" w:rsidRDefault="00BA52EF" w:rsidP="00BA52EF">
      <w:pPr>
        <w:pStyle w:val="ListParagraph"/>
        <w:ind w:left="0"/>
        <w:rPr>
          <w:rFonts w:ascii="Arial" w:hAnsi="Arial" w:cs="Arial"/>
        </w:rPr>
      </w:pPr>
    </w:p>
    <w:p w14:paraId="1009166E" w14:textId="77777777" w:rsidR="00BA52EF" w:rsidRPr="00DD0F09" w:rsidRDefault="003246FD" w:rsidP="00BA52EF">
      <w:pPr>
        <w:pStyle w:val="ListParagraph"/>
        <w:ind w:left="0"/>
        <w:rPr>
          <w:rFonts w:ascii="Arial" w:hAnsi="Arial" w:cs="Arial"/>
          <w:i/>
          <w:u w:val="single"/>
        </w:rPr>
      </w:pPr>
      <w:r>
        <w:rPr>
          <w:rFonts w:ascii="Arial" w:hAnsi="Arial" w:cs="Arial"/>
          <w:i/>
          <w:u w:val="single"/>
        </w:rPr>
        <w:t>Service Center</w:t>
      </w:r>
      <w:r w:rsidR="00BA52EF" w:rsidRPr="00DD0F09">
        <w:rPr>
          <w:rFonts w:ascii="Arial" w:hAnsi="Arial" w:cs="Arial"/>
          <w:i/>
          <w:u w:val="single"/>
        </w:rPr>
        <w:t>s must account for over-recoveries (surpluses) and under-recoveries (deficits) annually so that they may be factored into any new rates.</w:t>
      </w:r>
    </w:p>
    <w:p w14:paraId="47AE26C5" w14:textId="77777777" w:rsidR="00BA52EF" w:rsidRDefault="00BA52EF" w:rsidP="00BA52EF">
      <w:pPr>
        <w:pStyle w:val="ListParagraph"/>
        <w:ind w:left="0"/>
        <w:rPr>
          <w:rFonts w:ascii="Arial" w:hAnsi="Arial" w:cs="Arial"/>
        </w:rPr>
      </w:pPr>
      <w:r>
        <w:rPr>
          <w:rFonts w:ascii="Arial" w:hAnsi="Arial" w:cs="Arial"/>
        </w:rPr>
        <w:t xml:space="preserve"> </w:t>
      </w:r>
    </w:p>
    <w:p w14:paraId="7F121EDE" w14:textId="77777777" w:rsidR="00BA52EF" w:rsidRDefault="00BA52EF" w:rsidP="00BA52EF">
      <w:pPr>
        <w:pStyle w:val="ListParagraph"/>
        <w:ind w:left="0"/>
        <w:rPr>
          <w:rFonts w:ascii="Arial" w:hAnsi="Arial" w:cs="Arial"/>
        </w:rPr>
      </w:pPr>
      <w:r>
        <w:rPr>
          <w:rFonts w:ascii="Arial" w:hAnsi="Arial" w:cs="Arial"/>
        </w:rPr>
        <w:t xml:space="preserve">Surpluses from Service Centers </w:t>
      </w:r>
      <w:r w:rsidR="005B5B32">
        <w:rPr>
          <w:rFonts w:ascii="Arial" w:hAnsi="Arial" w:cs="Arial"/>
        </w:rPr>
        <w:t>cannot</w:t>
      </w:r>
      <w:r>
        <w:rPr>
          <w:rFonts w:ascii="Arial" w:hAnsi="Arial" w:cs="Arial"/>
        </w:rPr>
        <w:t xml:space="preserve"> be used to fund unrelated activities</w:t>
      </w:r>
    </w:p>
    <w:p w14:paraId="7537198A" w14:textId="77777777" w:rsidR="006B4F19" w:rsidRDefault="006B4F19" w:rsidP="00BA52EF">
      <w:pPr>
        <w:pStyle w:val="ListParagraph"/>
        <w:ind w:left="0"/>
        <w:rPr>
          <w:rFonts w:ascii="Arial" w:hAnsi="Arial" w:cs="Arial"/>
        </w:rPr>
      </w:pPr>
    </w:p>
    <w:p w14:paraId="5DDBBCBD" w14:textId="77777777" w:rsidR="00BA52EF" w:rsidRDefault="00BA52EF" w:rsidP="00BA52EF">
      <w:pPr>
        <w:pStyle w:val="ListParagraph"/>
        <w:ind w:left="0"/>
        <w:rPr>
          <w:rFonts w:ascii="Arial" w:hAnsi="Arial" w:cs="Arial"/>
        </w:rPr>
      </w:pPr>
      <w:r>
        <w:rPr>
          <w:rFonts w:ascii="Arial" w:hAnsi="Arial" w:cs="Arial"/>
        </w:rPr>
        <w:t>Surplus generated from external users may be transferred out of the service center with approval from the units Vice President or Dean and Government Cost Compliance under the following conditions:</w:t>
      </w:r>
    </w:p>
    <w:p w14:paraId="51E4975E" w14:textId="77777777" w:rsidR="00BA52EF" w:rsidRDefault="00BA52EF" w:rsidP="00BA52EF">
      <w:pPr>
        <w:pStyle w:val="ListParagraph"/>
        <w:ind w:left="0"/>
        <w:rPr>
          <w:rFonts w:ascii="Arial" w:hAnsi="Arial" w:cs="Arial"/>
        </w:rPr>
      </w:pPr>
    </w:p>
    <w:p w14:paraId="498FE2E4" w14:textId="77777777" w:rsidR="00BA52EF" w:rsidRDefault="00BA52EF" w:rsidP="00BA52EF">
      <w:pPr>
        <w:pStyle w:val="ListParagraph"/>
        <w:numPr>
          <w:ilvl w:val="0"/>
          <w:numId w:val="6"/>
        </w:numPr>
        <w:rPr>
          <w:rFonts w:ascii="Arial" w:hAnsi="Arial" w:cs="Arial"/>
        </w:rPr>
      </w:pPr>
      <w:r>
        <w:rPr>
          <w:rFonts w:ascii="Arial" w:hAnsi="Arial" w:cs="Arial"/>
        </w:rPr>
        <w:t>The surplus can be directly associated with External Users</w:t>
      </w:r>
    </w:p>
    <w:p w14:paraId="30001454" w14:textId="77777777" w:rsidR="00BA52EF" w:rsidRDefault="00BA52EF" w:rsidP="00BA52EF">
      <w:pPr>
        <w:pStyle w:val="ListParagraph"/>
        <w:numPr>
          <w:ilvl w:val="0"/>
          <w:numId w:val="6"/>
        </w:numPr>
        <w:rPr>
          <w:rFonts w:ascii="Arial" w:hAnsi="Arial" w:cs="Arial"/>
        </w:rPr>
      </w:pPr>
      <w:r>
        <w:rPr>
          <w:rFonts w:ascii="Arial" w:hAnsi="Arial" w:cs="Arial"/>
        </w:rPr>
        <w:t>The Service Center will retain a positive fund balance after the transfer</w:t>
      </w:r>
    </w:p>
    <w:p w14:paraId="0E18A9A5" w14:textId="77777777" w:rsidR="00BA52EF" w:rsidRPr="00C84083" w:rsidRDefault="00BA52EF" w:rsidP="00BA52EF">
      <w:pPr>
        <w:pStyle w:val="ListParagraph"/>
        <w:numPr>
          <w:ilvl w:val="0"/>
          <w:numId w:val="6"/>
        </w:numPr>
        <w:rPr>
          <w:rFonts w:ascii="Arial" w:hAnsi="Arial" w:cs="Arial"/>
        </w:rPr>
      </w:pPr>
      <w:r w:rsidRPr="00C84083">
        <w:rPr>
          <w:rFonts w:ascii="Arial" w:hAnsi="Arial" w:cs="Arial"/>
        </w:rPr>
        <w:t>The Service Center was not subsidized with internal UC funds</w:t>
      </w:r>
    </w:p>
    <w:p w14:paraId="6330CB39" w14:textId="77777777" w:rsidR="006B4F19" w:rsidRDefault="007509EA" w:rsidP="00BA52EF">
      <w:pPr>
        <w:rPr>
          <w:rFonts w:ascii="Arial" w:hAnsi="Arial" w:cs="Arial"/>
          <w:b/>
          <w:u w:val="single"/>
        </w:rPr>
      </w:pPr>
      <w:r w:rsidRPr="00C84083">
        <w:rPr>
          <w:rFonts w:ascii="Arial" w:hAnsi="Arial" w:cs="Arial"/>
        </w:rPr>
        <w:t>The surplus or deficit balance must reported on the Surplus-Def</w:t>
      </w:r>
      <w:r w:rsidR="001A2112" w:rsidRPr="00C84083">
        <w:rPr>
          <w:rFonts w:ascii="Arial" w:hAnsi="Arial" w:cs="Arial"/>
        </w:rPr>
        <w:t xml:space="preserve">icit calculation tab of the </w:t>
      </w:r>
      <w:hyperlink w:anchor="surplus" w:history="1">
        <w:r w:rsidRPr="00C84083">
          <w:rPr>
            <w:rStyle w:val="Hyperlink"/>
            <w:rFonts w:ascii="Arial" w:hAnsi="Arial" w:cs="Arial"/>
          </w:rPr>
          <w:t>service center questionnaire.</w:t>
        </w:r>
      </w:hyperlink>
    </w:p>
    <w:p w14:paraId="61F130F5" w14:textId="77777777" w:rsidR="00BA52EF" w:rsidRPr="00682AA1" w:rsidRDefault="00BA52EF" w:rsidP="00BA52EF">
      <w:pPr>
        <w:rPr>
          <w:rFonts w:ascii="Arial" w:hAnsi="Arial" w:cs="Arial"/>
          <w:b/>
          <w:u w:val="single"/>
        </w:rPr>
      </w:pPr>
      <w:r w:rsidRPr="00682AA1">
        <w:rPr>
          <w:rFonts w:ascii="Arial" w:hAnsi="Arial" w:cs="Arial"/>
          <w:b/>
          <w:u w:val="single"/>
        </w:rPr>
        <w:t>Service Center Subsidies</w:t>
      </w:r>
    </w:p>
    <w:p w14:paraId="7CF00C61" w14:textId="77777777" w:rsidR="00BA52EF" w:rsidRPr="00390A00" w:rsidRDefault="00BA52EF" w:rsidP="00BA52EF">
      <w:pPr>
        <w:autoSpaceDE w:val="0"/>
        <w:autoSpaceDN w:val="0"/>
        <w:adjustRightInd w:val="0"/>
        <w:spacing w:after="0" w:line="240" w:lineRule="auto"/>
        <w:rPr>
          <w:rFonts w:ascii="Arial" w:hAnsi="Arial" w:cs="Arial"/>
          <w:i/>
          <w:u w:val="single"/>
        </w:rPr>
      </w:pPr>
      <w:r>
        <w:rPr>
          <w:rFonts w:ascii="Arial" w:hAnsi="Arial" w:cs="Arial"/>
        </w:rPr>
        <w:t xml:space="preserve">Lump sum subsides should be included in the budget. </w:t>
      </w:r>
      <w:r w:rsidRPr="00390A00">
        <w:rPr>
          <w:rFonts w:ascii="Arial" w:hAnsi="Arial" w:cs="Arial"/>
          <w:i/>
          <w:u w:val="single"/>
        </w:rPr>
        <w:t>Subsidies can be applied to Service Center rates as follows:</w:t>
      </w:r>
    </w:p>
    <w:p w14:paraId="2017DC3A" w14:textId="77777777" w:rsidR="00BA52EF" w:rsidRDefault="00BA52EF" w:rsidP="00BA52EF">
      <w:pPr>
        <w:autoSpaceDE w:val="0"/>
        <w:autoSpaceDN w:val="0"/>
        <w:adjustRightInd w:val="0"/>
        <w:spacing w:after="0" w:line="240" w:lineRule="auto"/>
        <w:rPr>
          <w:rFonts w:ascii="Arial" w:hAnsi="Arial" w:cs="Arial"/>
        </w:rPr>
      </w:pPr>
    </w:p>
    <w:p w14:paraId="4E6861A1" w14:textId="77777777" w:rsidR="00BA52EF" w:rsidRPr="00A921F3" w:rsidRDefault="00BA52EF" w:rsidP="00BA52EF">
      <w:pPr>
        <w:pStyle w:val="ListParagraph"/>
        <w:numPr>
          <w:ilvl w:val="0"/>
          <w:numId w:val="9"/>
        </w:numPr>
        <w:autoSpaceDE w:val="0"/>
        <w:autoSpaceDN w:val="0"/>
        <w:adjustRightInd w:val="0"/>
        <w:spacing w:after="0" w:line="240" w:lineRule="auto"/>
        <w:rPr>
          <w:rFonts w:ascii="Arial" w:hAnsi="Arial" w:cs="Arial"/>
        </w:rPr>
      </w:pPr>
      <w:r w:rsidRPr="00A921F3">
        <w:rPr>
          <w:rFonts w:ascii="Arial" w:hAnsi="Arial" w:cs="Arial"/>
        </w:rPr>
        <w:t>Rates can be set so all users are charged based on the reduced cost of the service provided from the subsidy.</w:t>
      </w:r>
    </w:p>
    <w:p w14:paraId="15763F0C" w14:textId="77777777" w:rsidR="00BA52EF" w:rsidRDefault="00BA52EF" w:rsidP="00BA52EF">
      <w:pPr>
        <w:pStyle w:val="ListParagraph"/>
        <w:numPr>
          <w:ilvl w:val="0"/>
          <w:numId w:val="9"/>
        </w:numPr>
        <w:autoSpaceDE w:val="0"/>
        <w:autoSpaceDN w:val="0"/>
        <w:adjustRightInd w:val="0"/>
        <w:spacing w:after="0" w:line="240" w:lineRule="auto"/>
        <w:rPr>
          <w:rFonts w:ascii="Arial" w:hAnsi="Arial" w:cs="Arial"/>
        </w:rPr>
      </w:pPr>
      <w:r w:rsidRPr="00A921F3">
        <w:rPr>
          <w:rFonts w:ascii="Arial" w:hAnsi="Arial" w:cs="Arial"/>
        </w:rPr>
        <w:t>Service Centers can subsidize specific gro</w:t>
      </w:r>
      <w:r w:rsidR="00BF64C8">
        <w:rPr>
          <w:rFonts w:ascii="Arial" w:hAnsi="Arial" w:cs="Arial"/>
        </w:rPr>
        <w:t>ups of internal customers (i.e.</w:t>
      </w:r>
      <w:r w:rsidRPr="00A921F3">
        <w:rPr>
          <w:rFonts w:ascii="Arial" w:hAnsi="Arial" w:cs="Arial"/>
        </w:rPr>
        <w:t xml:space="preserve"> students, or members of a lab) </w:t>
      </w:r>
    </w:p>
    <w:p w14:paraId="745D75DD" w14:textId="77777777" w:rsidR="00BA52EF" w:rsidRDefault="00BA52EF" w:rsidP="00BA52EF">
      <w:pPr>
        <w:pStyle w:val="ListParagraph"/>
        <w:numPr>
          <w:ilvl w:val="1"/>
          <w:numId w:val="9"/>
        </w:numPr>
        <w:autoSpaceDE w:val="0"/>
        <w:autoSpaceDN w:val="0"/>
        <w:adjustRightInd w:val="0"/>
        <w:spacing w:after="0" w:line="240" w:lineRule="auto"/>
        <w:rPr>
          <w:rFonts w:ascii="Arial" w:hAnsi="Arial" w:cs="Arial"/>
        </w:rPr>
      </w:pPr>
      <w:r>
        <w:rPr>
          <w:rFonts w:ascii="Arial" w:hAnsi="Arial" w:cs="Arial"/>
        </w:rPr>
        <w:t>Federal Users must be charged the lowest rate being offered</w:t>
      </w:r>
    </w:p>
    <w:p w14:paraId="407F9C91" w14:textId="77777777" w:rsidR="00BA52EF" w:rsidRPr="00A921F3" w:rsidRDefault="00BF64C8" w:rsidP="00BA52EF">
      <w:pPr>
        <w:pStyle w:val="ListParagraph"/>
        <w:numPr>
          <w:ilvl w:val="1"/>
          <w:numId w:val="9"/>
        </w:numPr>
        <w:autoSpaceDE w:val="0"/>
        <w:autoSpaceDN w:val="0"/>
        <w:adjustRightInd w:val="0"/>
        <w:spacing w:after="0" w:line="240" w:lineRule="auto"/>
        <w:rPr>
          <w:rFonts w:ascii="Arial" w:hAnsi="Arial" w:cs="Arial"/>
        </w:rPr>
      </w:pPr>
      <w:r>
        <w:rPr>
          <w:rFonts w:ascii="Arial" w:hAnsi="Arial" w:cs="Arial"/>
        </w:rPr>
        <w:t>Subsidies are applied after rates are calculated for all users based on total expense and total billable units.</w:t>
      </w:r>
    </w:p>
    <w:p w14:paraId="7AA6351F" w14:textId="77777777" w:rsidR="00BA52EF" w:rsidRPr="00A921F3" w:rsidRDefault="00BA52EF" w:rsidP="00BA52EF">
      <w:pPr>
        <w:pStyle w:val="ListParagraph"/>
        <w:numPr>
          <w:ilvl w:val="0"/>
          <w:numId w:val="9"/>
        </w:numPr>
        <w:autoSpaceDE w:val="0"/>
        <w:autoSpaceDN w:val="0"/>
        <w:adjustRightInd w:val="0"/>
        <w:spacing w:after="0" w:line="240" w:lineRule="auto"/>
        <w:rPr>
          <w:rFonts w:ascii="Arial" w:hAnsi="Arial" w:cs="Arial"/>
        </w:rPr>
      </w:pPr>
      <w:r w:rsidRPr="00A921F3">
        <w:rPr>
          <w:rFonts w:ascii="Arial" w:hAnsi="Arial" w:cs="Arial"/>
        </w:rPr>
        <w:t xml:space="preserve">Service Centers can subsidize specific services by offering </w:t>
      </w:r>
      <w:r w:rsidR="003F5BA7">
        <w:rPr>
          <w:rFonts w:ascii="Arial" w:hAnsi="Arial" w:cs="Arial"/>
        </w:rPr>
        <w:t>lower</w:t>
      </w:r>
      <w:r w:rsidRPr="00A921F3">
        <w:rPr>
          <w:rFonts w:ascii="Arial" w:hAnsi="Arial" w:cs="Arial"/>
        </w:rPr>
        <w:t xml:space="preserve"> rates.</w:t>
      </w:r>
    </w:p>
    <w:p w14:paraId="5550ED48" w14:textId="77777777" w:rsidR="00BA52EF" w:rsidRDefault="00BA52EF" w:rsidP="00BA52EF">
      <w:pPr>
        <w:autoSpaceDE w:val="0"/>
        <w:autoSpaceDN w:val="0"/>
        <w:adjustRightInd w:val="0"/>
        <w:spacing w:after="0" w:line="240" w:lineRule="auto"/>
        <w:rPr>
          <w:rFonts w:ascii="Arial" w:hAnsi="Arial" w:cs="Arial"/>
        </w:rPr>
      </w:pPr>
    </w:p>
    <w:p w14:paraId="1CABC949" w14:textId="77777777" w:rsidR="00BA52EF" w:rsidRPr="00682AA1" w:rsidRDefault="00BA52EF" w:rsidP="00BA52EF">
      <w:pPr>
        <w:autoSpaceDE w:val="0"/>
        <w:autoSpaceDN w:val="0"/>
        <w:adjustRightInd w:val="0"/>
        <w:spacing w:after="0" w:line="240" w:lineRule="auto"/>
        <w:rPr>
          <w:rFonts w:ascii="Arial" w:hAnsi="Arial" w:cs="Arial"/>
        </w:rPr>
      </w:pPr>
      <w:r w:rsidRPr="00682AA1">
        <w:rPr>
          <w:rFonts w:ascii="Arial" w:hAnsi="Arial" w:cs="Arial"/>
        </w:rPr>
        <w:t>Grants and restricted funds (e.g. endowment or restricted gift funds) cannot provide lump sum</w:t>
      </w:r>
    </w:p>
    <w:p w14:paraId="0555BF1A" w14:textId="6A24560B" w:rsidR="00BA52EF" w:rsidRPr="00682AA1" w:rsidRDefault="00D65EF6" w:rsidP="00BA52EF">
      <w:pPr>
        <w:autoSpaceDE w:val="0"/>
        <w:autoSpaceDN w:val="0"/>
        <w:adjustRightInd w:val="0"/>
        <w:spacing w:after="0" w:line="240" w:lineRule="auto"/>
        <w:rPr>
          <w:rFonts w:ascii="Arial" w:hAnsi="Arial" w:cs="Arial"/>
        </w:rPr>
      </w:pPr>
      <w:r>
        <w:rPr>
          <w:rFonts w:ascii="Arial" w:hAnsi="Arial" w:cs="Arial"/>
        </w:rPr>
        <w:t>s</w:t>
      </w:r>
      <w:r w:rsidR="00C84083" w:rsidRPr="00682AA1">
        <w:rPr>
          <w:rFonts w:ascii="Arial" w:hAnsi="Arial" w:cs="Arial"/>
        </w:rPr>
        <w:t>ubsidies</w:t>
      </w:r>
      <w:r w:rsidR="00BA52EF" w:rsidRPr="00682AA1">
        <w:rPr>
          <w:rFonts w:ascii="Arial" w:hAnsi="Arial" w:cs="Arial"/>
        </w:rPr>
        <w:t xml:space="preserve"> to service centers. The applicable expenses must be charged directly on the award or</w:t>
      </w:r>
    </w:p>
    <w:p w14:paraId="45910A28" w14:textId="77777777" w:rsidR="00BA52EF" w:rsidRDefault="00BA52EF" w:rsidP="00BA52EF">
      <w:pPr>
        <w:autoSpaceDE w:val="0"/>
        <w:autoSpaceDN w:val="0"/>
        <w:adjustRightInd w:val="0"/>
        <w:spacing w:after="0" w:line="240" w:lineRule="auto"/>
        <w:rPr>
          <w:rFonts w:ascii="Arial" w:hAnsi="Arial" w:cs="Arial"/>
        </w:rPr>
      </w:pPr>
      <w:r w:rsidRPr="00682AA1">
        <w:rPr>
          <w:rFonts w:ascii="Arial" w:hAnsi="Arial" w:cs="Arial"/>
        </w:rPr>
        <w:t>fund in the general ledger. The amounts should be included in the budget and will be reflected in the applicable rate calculations if the support is not a lump sum subsidy.</w:t>
      </w:r>
    </w:p>
    <w:p w14:paraId="683F85D5" w14:textId="77777777" w:rsidR="001A2112" w:rsidRDefault="001A2112" w:rsidP="00BA52EF">
      <w:pPr>
        <w:autoSpaceDE w:val="0"/>
        <w:autoSpaceDN w:val="0"/>
        <w:adjustRightInd w:val="0"/>
        <w:spacing w:after="0" w:line="240" w:lineRule="auto"/>
        <w:rPr>
          <w:rFonts w:ascii="Arial" w:hAnsi="Arial" w:cs="Arial"/>
        </w:rPr>
      </w:pPr>
    </w:p>
    <w:p w14:paraId="67FE2C65" w14:textId="77777777" w:rsidR="001A2112" w:rsidRPr="00682AA1" w:rsidRDefault="001A2112" w:rsidP="00BA52EF">
      <w:pPr>
        <w:autoSpaceDE w:val="0"/>
        <w:autoSpaceDN w:val="0"/>
        <w:adjustRightInd w:val="0"/>
        <w:spacing w:after="0" w:line="240" w:lineRule="auto"/>
        <w:rPr>
          <w:rFonts w:ascii="Arial" w:hAnsi="Arial" w:cs="Arial"/>
        </w:rPr>
      </w:pPr>
      <w:r>
        <w:rPr>
          <w:rFonts w:ascii="Arial" w:hAnsi="Arial" w:cs="Arial"/>
        </w:rPr>
        <w:t xml:space="preserve">Subsidies are reported and allocated to rates on the Subsidy tab of </w:t>
      </w:r>
      <w:r w:rsidRPr="00304ACE">
        <w:rPr>
          <w:rFonts w:ascii="Arial" w:hAnsi="Arial" w:cs="Arial"/>
        </w:rPr>
        <w:t xml:space="preserve">the </w:t>
      </w:r>
      <w:hyperlink w:anchor="Subsidy" w:history="1">
        <w:r w:rsidRPr="00304ACE">
          <w:rPr>
            <w:rStyle w:val="Hyperlink"/>
            <w:rFonts w:ascii="Arial" w:hAnsi="Arial" w:cs="Arial"/>
          </w:rPr>
          <w:t>service center questionnaire.</w:t>
        </w:r>
      </w:hyperlink>
    </w:p>
    <w:p w14:paraId="1CFA0DBD" w14:textId="77777777" w:rsidR="004619DD" w:rsidRDefault="004619DD" w:rsidP="007D0030">
      <w:pPr>
        <w:pStyle w:val="ListParagraph"/>
        <w:ind w:left="0"/>
        <w:rPr>
          <w:rFonts w:ascii="Arial" w:hAnsi="Arial" w:cs="Arial"/>
        </w:rPr>
      </w:pPr>
      <w:bookmarkStart w:id="1" w:name="_GoBack"/>
      <w:bookmarkEnd w:id="1"/>
    </w:p>
    <w:p w14:paraId="3FEDC67B" w14:textId="77777777" w:rsidR="006B4F19" w:rsidRDefault="006B4F19" w:rsidP="007D0030">
      <w:pPr>
        <w:pStyle w:val="ListParagraph"/>
        <w:ind w:left="0"/>
        <w:rPr>
          <w:rFonts w:ascii="Arial" w:hAnsi="Arial" w:cs="Arial"/>
        </w:rPr>
      </w:pPr>
    </w:p>
    <w:p w14:paraId="1FE426B7" w14:textId="77777777" w:rsidR="006B4F19" w:rsidRDefault="006B4F19" w:rsidP="007D0030">
      <w:pPr>
        <w:pStyle w:val="ListParagraph"/>
        <w:ind w:left="0"/>
        <w:rPr>
          <w:rFonts w:ascii="Arial" w:hAnsi="Arial" w:cs="Arial"/>
        </w:rPr>
      </w:pPr>
    </w:p>
    <w:p w14:paraId="0EADFFA5" w14:textId="77777777" w:rsidR="006B4F19" w:rsidRDefault="006B4F19" w:rsidP="007D0030">
      <w:pPr>
        <w:pStyle w:val="ListParagraph"/>
        <w:ind w:left="0"/>
        <w:rPr>
          <w:rFonts w:ascii="Arial" w:hAnsi="Arial" w:cs="Arial"/>
        </w:rPr>
      </w:pPr>
    </w:p>
    <w:p w14:paraId="44350328" w14:textId="77777777" w:rsidR="00A33F3C" w:rsidRDefault="00A33F3C" w:rsidP="007D0030">
      <w:pPr>
        <w:pStyle w:val="ListParagraph"/>
        <w:ind w:left="0"/>
        <w:rPr>
          <w:rFonts w:ascii="Arial" w:hAnsi="Arial" w:cs="Arial"/>
        </w:rPr>
      </w:pPr>
    </w:p>
    <w:p w14:paraId="40C6E16F" w14:textId="4128FF91" w:rsidR="00A82F29" w:rsidRDefault="00A4319A" w:rsidP="0064202D">
      <w:pPr>
        <w:pStyle w:val="PlainText"/>
        <w:rPr>
          <w:rFonts w:ascii="Arial" w:hAnsi="Arial" w:cs="Arial"/>
          <w:b/>
          <w:sz w:val="32"/>
          <w:szCs w:val="32"/>
        </w:rPr>
      </w:pPr>
      <w:r>
        <w:rPr>
          <w:rFonts w:ascii="Arial" w:hAnsi="Arial" w:cs="Arial"/>
          <w:b/>
          <w:sz w:val="32"/>
          <w:szCs w:val="32"/>
        </w:rPr>
        <w:t>REVEN</w:t>
      </w:r>
      <w:r w:rsidR="008715AD">
        <w:rPr>
          <w:rFonts w:ascii="Arial" w:hAnsi="Arial" w:cs="Arial"/>
          <w:b/>
          <w:sz w:val="32"/>
          <w:szCs w:val="32"/>
        </w:rPr>
        <w:t>U</w:t>
      </w:r>
      <w:r>
        <w:rPr>
          <w:rFonts w:ascii="Arial" w:hAnsi="Arial" w:cs="Arial"/>
          <w:b/>
          <w:sz w:val="32"/>
          <w:szCs w:val="32"/>
        </w:rPr>
        <w:t>E &amp; EXPENSE FINANCIAL ACTIVITY</w:t>
      </w:r>
    </w:p>
    <w:p w14:paraId="28C3393D" w14:textId="77777777" w:rsidR="00F3374C" w:rsidRDefault="00F3374C" w:rsidP="0064202D">
      <w:pPr>
        <w:pStyle w:val="PlainText"/>
        <w:rPr>
          <w:rFonts w:ascii="Arial" w:hAnsi="Arial" w:cs="Arial"/>
          <w:sz w:val="22"/>
          <w:szCs w:val="22"/>
        </w:rPr>
      </w:pPr>
    </w:p>
    <w:p w14:paraId="6477B1CC" w14:textId="074E9713" w:rsidR="001A2112" w:rsidRPr="00A4319A" w:rsidRDefault="00A4319A" w:rsidP="00A4319A">
      <w:pPr>
        <w:rPr>
          <w:rFonts w:ascii="Arial" w:hAnsi="Arial" w:cs="Arial"/>
          <w:b/>
          <w:u w:val="single"/>
        </w:rPr>
      </w:pPr>
      <w:r>
        <w:rPr>
          <w:rFonts w:ascii="Arial" w:hAnsi="Arial" w:cs="Arial"/>
          <w:b/>
          <w:u w:val="single"/>
        </w:rPr>
        <w:t xml:space="preserve">Posting </w:t>
      </w:r>
      <w:r w:rsidR="001D13F1" w:rsidRPr="00A4319A">
        <w:rPr>
          <w:rFonts w:ascii="Arial" w:hAnsi="Arial" w:cs="Arial"/>
          <w:b/>
          <w:u w:val="single"/>
        </w:rPr>
        <w:t>R</w:t>
      </w:r>
      <w:r w:rsidR="001D13F1">
        <w:rPr>
          <w:rFonts w:ascii="Arial" w:hAnsi="Arial" w:cs="Arial"/>
          <w:b/>
          <w:u w:val="single"/>
        </w:rPr>
        <w:t>ecovery of Expenses</w:t>
      </w:r>
    </w:p>
    <w:p w14:paraId="5EECDABD" w14:textId="77777777" w:rsidR="0064202D" w:rsidRDefault="00F3374C" w:rsidP="0064202D">
      <w:pPr>
        <w:pStyle w:val="PlainText"/>
        <w:rPr>
          <w:rFonts w:ascii="Arial" w:hAnsi="Arial" w:cs="Arial"/>
          <w:sz w:val="22"/>
          <w:szCs w:val="22"/>
        </w:rPr>
      </w:pPr>
      <w:r>
        <w:rPr>
          <w:rFonts w:ascii="Arial" w:hAnsi="Arial" w:cs="Arial"/>
          <w:sz w:val="22"/>
          <w:szCs w:val="22"/>
        </w:rPr>
        <w:t xml:space="preserve">Billings must be based upon measured and documented utilization. </w:t>
      </w:r>
    </w:p>
    <w:p w14:paraId="3F9079A0" w14:textId="77777777" w:rsidR="00BF64C8" w:rsidRDefault="00BF64C8" w:rsidP="0064202D">
      <w:pPr>
        <w:pStyle w:val="PlainText"/>
        <w:rPr>
          <w:rFonts w:ascii="Arial" w:hAnsi="Arial" w:cs="Arial"/>
          <w:sz w:val="22"/>
          <w:szCs w:val="22"/>
        </w:rPr>
      </w:pPr>
    </w:p>
    <w:p w14:paraId="2496B75C" w14:textId="77777777" w:rsidR="00BF64C8" w:rsidRDefault="00BF64C8" w:rsidP="0064202D">
      <w:pPr>
        <w:pStyle w:val="PlainText"/>
        <w:rPr>
          <w:rFonts w:ascii="Arial" w:hAnsi="Arial" w:cs="Arial"/>
          <w:sz w:val="22"/>
          <w:szCs w:val="22"/>
        </w:rPr>
      </w:pPr>
      <w:r>
        <w:rPr>
          <w:rFonts w:ascii="Arial" w:hAnsi="Arial" w:cs="Arial"/>
          <w:sz w:val="22"/>
          <w:szCs w:val="22"/>
        </w:rPr>
        <w:t>Billings cannot occur until the goods or services have been rendered.</w:t>
      </w:r>
    </w:p>
    <w:p w14:paraId="4504FBCB" w14:textId="77777777" w:rsidR="00BF64C8" w:rsidRDefault="00BF64C8" w:rsidP="0064202D">
      <w:pPr>
        <w:pStyle w:val="PlainText"/>
        <w:rPr>
          <w:rFonts w:ascii="Arial" w:hAnsi="Arial" w:cs="Arial"/>
          <w:sz w:val="22"/>
          <w:szCs w:val="22"/>
        </w:rPr>
      </w:pPr>
    </w:p>
    <w:p w14:paraId="6B3C7D80" w14:textId="6A07BC4A" w:rsidR="0064202D" w:rsidRPr="0064202D" w:rsidRDefault="00155AE8" w:rsidP="0064202D">
      <w:pPr>
        <w:pStyle w:val="PlainText"/>
        <w:rPr>
          <w:rFonts w:ascii="Arial" w:hAnsi="Arial" w:cs="Arial"/>
          <w:sz w:val="22"/>
          <w:szCs w:val="22"/>
        </w:rPr>
      </w:pPr>
      <w:r>
        <w:rPr>
          <w:rFonts w:ascii="Arial" w:hAnsi="Arial" w:cs="Arial"/>
          <w:sz w:val="22"/>
          <w:szCs w:val="22"/>
        </w:rPr>
        <w:t xml:space="preserve">It is recommended that billings for goods and services be accomplished on a monthly basis in order to align </w:t>
      </w:r>
      <w:r w:rsidR="001D13F1">
        <w:rPr>
          <w:rFonts w:ascii="Arial" w:hAnsi="Arial" w:cs="Arial"/>
          <w:sz w:val="22"/>
          <w:szCs w:val="22"/>
        </w:rPr>
        <w:t xml:space="preserve">recovery </w:t>
      </w:r>
      <w:r>
        <w:rPr>
          <w:rFonts w:ascii="Arial" w:hAnsi="Arial" w:cs="Arial"/>
          <w:sz w:val="22"/>
          <w:szCs w:val="22"/>
        </w:rPr>
        <w:t xml:space="preserve">with the timing of the expenditures incurred that generated the </w:t>
      </w:r>
      <w:r w:rsidR="001D13F1">
        <w:rPr>
          <w:rFonts w:ascii="Arial" w:hAnsi="Arial" w:cs="Arial"/>
          <w:sz w:val="22"/>
          <w:szCs w:val="22"/>
        </w:rPr>
        <w:t>recovery</w:t>
      </w:r>
      <w:r>
        <w:rPr>
          <w:rFonts w:ascii="Arial" w:hAnsi="Arial" w:cs="Arial"/>
          <w:sz w:val="22"/>
          <w:szCs w:val="22"/>
        </w:rPr>
        <w:t xml:space="preserve">. At </w:t>
      </w:r>
      <w:r w:rsidR="005B5B32">
        <w:rPr>
          <w:rFonts w:ascii="Arial" w:hAnsi="Arial" w:cs="Arial"/>
          <w:sz w:val="22"/>
          <w:szCs w:val="22"/>
        </w:rPr>
        <w:t>year-end</w:t>
      </w:r>
      <w:r>
        <w:rPr>
          <w:rFonts w:ascii="Arial" w:hAnsi="Arial" w:cs="Arial"/>
          <w:sz w:val="22"/>
          <w:szCs w:val="22"/>
        </w:rPr>
        <w:t xml:space="preserve">, billings for the month of June should be prioritized so that they are recorded on the accounting system before </w:t>
      </w:r>
      <w:r w:rsidR="005B5B32">
        <w:rPr>
          <w:rFonts w:ascii="Arial" w:hAnsi="Arial" w:cs="Arial"/>
          <w:sz w:val="22"/>
          <w:szCs w:val="22"/>
        </w:rPr>
        <w:t>year-end</w:t>
      </w:r>
      <w:r>
        <w:rPr>
          <w:rFonts w:ascii="Arial" w:hAnsi="Arial" w:cs="Arial"/>
          <w:sz w:val="22"/>
          <w:szCs w:val="22"/>
        </w:rPr>
        <w:t xml:space="preserve">. Should a department not be able to meet this </w:t>
      </w:r>
      <w:r w:rsidR="00C84083">
        <w:rPr>
          <w:rFonts w:ascii="Arial" w:hAnsi="Arial" w:cs="Arial"/>
          <w:sz w:val="22"/>
          <w:szCs w:val="22"/>
        </w:rPr>
        <w:t>period</w:t>
      </w:r>
      <w:r>
        <w:rPr>
          <w:rFonts w:ascii="Arial" w:hAnsi="Arial" w:cs="Arial"/>
          <w:sz w:val="22"/>
          <w:szCs w:val="22"/>
        </w:rPr>
        <w:t xml:space="preserve"> and the total on unbilled </w:t>
      </w:r>
      <w:r w:rsidR="001D13F1">
        <w:rPr>
          <w:rFonts w:ascii="Arial" w:hAnsi="Arial" w:cs="Arial"/>
          <w:sz w:val="22"/>
          <w:szCs w:val="22"/>
        </w:rPr>
        <w:t xml:space="preserve">recovery </w:t>
      </w:r>
      <w:r>
        <w:rPr>
          <w:rFonts w:ascii="Arial" w:hAnsi="Arial" w:cs="Arial"/>
          <w:sz w:val="22"/>
          <w:szCs w:val="22"/>
        </w:rPr>
        <w:t xml:space="preserve">is material, a listing of unposted billings should be provided to the Controller’s Office to allow for the accrual of </w:t>
      </w:r>
      <w:r w:rsidR="001D13F1">
        <w:rPr>
          <w:rFonts w:ascii="Arial" w:hAnsi="Arial" w:cs="Arial"/>
          <w:sz w:val="22"/>
          <w:szCs w:val="22"/>
        </w:rPr>
        <w:t xml:space="preserve">recovery </w:t>
      </w:r>
      <w:r>
        <w:rPr>
          <w:rFonts w:ascii="Arial" w:hAnsi="Arial" w:cs="Arial"/>
          <w:sz w:val="22"/>
          <w:szCs w:val="22"/>
        </w:rPr>
        <w:t>in the same fiscal year in which they were earned.</w:t>
      </w:r>
    </w:p>
    <w:p w14:paraId="0AA780C7" w14:textId="77777777" w:rsidR="00A82F29" w:rsidRDefault="00A82F29" w:rsidP="007D0030">
      <w:pPr>
        <w:pStyle w:val="ListParagraph"/>
        <w:ind w:left="0"/>
        <w:rPr>
          <w:rFonts w:ascii="Arial" w:hAnsi="Arial" w:cs="Arial"/>
        </w:rPr>
      </w:pPr>
    </w:p>
    <w:p w14:paraId="57040DB6" w14:textId="77777777" w:rsidR="00304ACE" w:rsidRDefault="009229F7" w:rsidP="007D0030">
      <w:pPr>
        <w:pStyle w:val="ListParagraph"/>
        <w:ind w:left="0"/>
        <w:rPr>
          <w:rFonts w:ascii="Arial" w:hAnsi="Arial" w:cs="Arial"/>
        </w:rPr>
      </w:pPr>
      <w:r>
        <w:rPr>
          <w:rFonts w:ascii="Arial" w:hAnsi="Arial" w:cs="Arial"/>
        </w:rPr>
        <w:t>Internal UC users should be billed in the University’s financial system using general ledger code 580100.</w:t>
      </w:r>
      <w:r w:rsidR="00304ACE">
        <w:rPr>
          <w:rFonts w:ascii="Arial" w:hAnsi="Arial" w:cs="Arial"/>
        </w:rPr>
        <w:t xml:space="preserve"> Internal Users should be provided a detailed statement of the charge, that includes the quantity, rate, and service, and total amount billed.</w:t>
      </w:r>
    </w:p>
    <w:p w14:paraId="518EDA87" w14:textId="77777777" w:rsidR="009229F7" w:rsidRDefault="009229F7" w:rsidP="007D0030">
      <w:pPr>
        <w:pStyle w:val="ListParagraph"/>
        <w:ind w:left="0"/>
        <w:rPr>
          <w:rFonts w:ascii="Arial" w:hAnsi="Arial" w:cs="Arial"/>
        </w:rPr>
      </w:pPr>
    </w:p>
    <w:p w14:paraId="70625DF5" w14:textId="77777777" w:rsidR="009229F7" w:rsidRDefault="009229F7" w:rsidP="007D0030">
      <w:pPr>
        <w:pStyle w:val="ListParagraph"/>
        <w:ind w:left="0"/>
        <w:rPr>
          <w:rFonts w:ascii="Arial" w:hAnsi="Arial" w:cs="Arial"/>
        </w:rPr>
      </w:pPr>
      <w:r>
        <w:rPr>
          <w:rFonts w:ascii="Arial" w:hAnsi="Arial" w:cs="Arial"/>
        </w:rPr>
        <w:t>External users should be invoiced in the University’s financial system using general ledger code 580400.</w:t>
      </w:r>
      <w:r w:rsidR="00304ACE">
        <w:rPr>
          <w:rFonts w:ascii="Arial" w:hAnsi="Arial" w:cs="Arial"/>
        </w:rPr>
        <w:t xml:space="preserve"> Invoices must include the quantity, rate, service and total amount billed.</w:t>
      </w:r>
    </w:p>
    <w:p w14:paraId="08BB75F2" w14:textId="77777777" w:rsidR="009229F7" w:rsidRDefault="009229F7" w:rsidP="007D0030">
      <w:pPr>
        <w:pStyle w:val="ListParagraph"/>
        <w:ind w:left="0"/>
        <w:rPr>
          <w:rFonts w:ascii="Arial" w:hAnsi="Arial" w:cs="Arial"/>
        </w:rPr>
      </w:pPr>
    </w:p>
    <w:p w14:paraId="1AA874CC" w14:textId="6AB38705" w:rsidR="006B4F19" w:rsidRDefault="009229F7" w:rsidP="007D0030">
      <w:pPr>
        <w:pStyle w:val="ListParagraph"/>
        <w:ind w:left="0"/>
        <w:rPr>
          <w:rFonts w:ascii="Arial" w:hAnsi="Arial" w:cs="Arial"/>
        </w:rPr>
      </w:pPr>
      <w:r>
        <w:rPr>
          <w:rFonts w:ascii="Arial" w:hAnsi="Arial" w:cs="Arial"/>
        </w:rPr>
        <w:t>Affiliate users and e</w:t>
      </w:r>
      <w:r w:rsidR="003720F7">
        <w:rPr>
          <w:rFonts w:ascii="Arial" w:hAnsi="Arial" w:cs="Arial"/>
        </w:rPr>
        <w:t>x</w:t>
      </w:r>
      <w:r>
        <w:rPr>
          <w:rFonts w:ascii="Arial" w:hAnsi="Arial" w:cs="Arial"/>
        </w:rPr>
        <w:t>ternal federal users should be invoiced or billed in the University’s financial system using the general ledger code 581300.</w:t>
      </w:r>
      <w:r w:rsidR="00304ACE">
        <w:rPr>
          <w:rFonts w:ascii="Arial" w:hAnsi="Arial" w:cs="Arial"/>
        </w:rPr>
        <w:t xml:space="preserve"> Affiliates invoices/statements must include the quantity, rate, service, and total amount billed.</w:t>
      </w:r>
    </w:p>
    <w:p w14:paraId="4B956C35" w14:textId="77777777" w:rsidR="00304ACE" w:rsidRDefault="00304ACE" w:rsidP="007D0030">
      <w:pPr>
        <w:pStyle w:val="ListParagraph"/>
        <w:ind w:left="0"/>
        <w:rPr>
          <w:rFonts w:ascii="Arial" w:hAnsi="Arial" w:cs="Arial"/>
        </w:rPr>
      </w:pPr>
    </w:p>
    <w:p w14:paraId="3E650CA3" w14:textId="77777777" w:rsidR="00E73EE7" w:rsidRDefault="00E73EE7" w:rsidP="007D0030">
      <w:pPr>
        <w:pStyle w:val="ListParagraph"/>
        <w:ind w:left="0"/>
        <w:rPr>
          <w:rFonts w:ascii="Arial" w:hAnsi="Arial" w:cs="Arial"/>
        </w:rPr>
      </w:pPr>
      <w:r>
        <w:rPr>
          <w:rFonts w:ascii="Arial" w:hAnsi="Arial" w:cs="Arial"/>
        </w:rPr>
        <w:t xml:space="preserve">A New </w:t>
      </w:r>
      <w:hyperlink r:id="rId23" w:history="1">
        <w:r w:rsidRPr="00E73EE7">
          <w:rPr>
            <w:rStyle w:val="Hyperlink"/>
            <w:rFonts w:ascii="Arial" w:hAnsi="Arial" w:cs="Arial"/>
          </w:rPr>
          <w:t>Customer Maintenance Form</w:t>
        </w:r>
      </w:hyperlink>
      <w:r>
        <w:rPr>
          <w:rFonts w:ascii="Arial" w:hAnsi="Arial" w:cs="Arial"/>
        </w:rPr>
        <w:t xml:space="preserve"> must be completed for external </w:t>
      </w:r>
      <w:r w:rsidR="00C84083">
        <w:rPr>
          <w:rFonts w:ascii="Arial" w:hAnsi="Arial" w:cs="Arial"/>
        </w:rPr>
        <w:t>users to</w:t>
      </w:r>
      <w:r>
        <w:rPr>
          <w:rFonts w:ascii="Arial" w:hAnsi="Arial" w:cs="Arial"/>
        </w:rPr>
        <w:t xml:space="preserve"> be setup in UCflex.  See: </w:t>
      </w:r>
      <w:hyperlink r:id="rId24" w:history="1">
        <w:r w:rsidRPr="00E73EE7">
          <w:rPr>
            <w:rStyle w:val="Hyperlink"/>
            <w:rFonts w:ascii="Arial" w:hAnsi="Arial" w:cs="Arial"/>
          </w:rPr>
          <w:t>Policy for Invoicing External Users</w:t>
        </w:r>
      </w:hyperlink>
    </w:p>
    <w:p w14:paraId="45A2ABD2" w14:textId="77777777" w:rsidR="009229F7" w:rsidRDefault="009229F7" w:rsidP="007D0030">
      <w:pPr>
        <w:pStyle w:val="ListParagraph"/>
        <w:ind w:left="0"/>
        <w:rPr>
          <w:rFonts w:ascii="Arial" w:hAnsi="Arial" w:cs="Arial"/>
        </w:rPr>
      </w:pPr>
    </w:p>
    <w:p w14:paraId="0CA672A1" w14:textId="77777777" w:rsidR="00E73EE7" w:rsidRDefault="00E73EE7" w:rsidP="00E73EE7">
      <w:pPr>
        <w:pStyle w:val="ListParagraph"/>
        <w:ind w:left="0"/>
        <w:rPr>
          <w:rFonts w:ascii="Arial" w:hAnsi="Arial" w:cs="Arial"/>
        </w:rPr>
      </w:pPr>
      <w:r>
        <w:rPr>
          <w:rFonts w:ascii="Arial" w:hAnsi="Arial" w:cs="Arial"/>
        </w:rPr>
        <w:t>Copies of the invoices and statements need to be retained by the service center.</w:t>
      </w:r>
    </w:p>
    <w:p w14:paraId="68884E12" w14:textId="77777777" w:rsidR="00E73EE7" w:rsidRDefault="00E73EE7" w:rsidP="007D0030">
      <w:pPr>
        <w:pStyle w:val="ListParagraph"/>
        <w:ind w:left="0"/>
        <w:rPr>
          <w:rFonts w:ascii="Arial" w:hAnsi="Arial" w:cs="Arial"/>
        </w:rPr>
      </w:pPr>
    </w:p>
    <w:p w14:paraId="50280299" w14:textId="45CF5573" w:rsidR="00304ACE" w:rsidRDefault="001A2112" w:rsidP="00A4319A">
      <w:pPr>
        <w:rPr>
          <w:rFonts w:ascii="Arial" w:hAnsi="Arial" w:cs="Arial"/>
        </w:rPr>
      </w:pPr>
      <w:r w:rsidRPr="00A4319A">
        <w:rPr>
          <w:rFonts w:ascii="Arial" w:hAnsi="Arial" w:cs="Arial"/>
          <w:b/>
          <w:u w:val="single"/>
        </w:rPr>
        <w:t xml:space="preserve">Functional Area Coding for </w:t>
      </w:r>
      <w:r w:rsidR="001D13F1" w:rsidRPr="00A4319A">
        <w:rPr>
          <w:rFonts w:ascii="Arial" w:hAnsi="Arial" w:cs="Arial"/>
          <w:b/>
          <w:u w:val="single"/>
        </w:rPr>
        <w:t>Re</w:t>
      </w:r>
      <w:r w:rsidR="001D13F1">
        <w:rPr>
          <w:rFonts w:ascii="Arial" w:hAnsi="Arial" w:cs="Arial"/>
          <w:b/>
          <w:u w:val="single"/>
        </w:rPr>
        <w:t>covery</w:t>
      </w:r>
      <w:r w:rsidR="001D13F1" w:rsidRPr="00A4319A">
        <w:rPr>
          <w:rFonts w:ascii="Arial" w:hAnsi="Arial" w:cs="Arial"/>
          <w:b/>
          <w:u w:val="single"/>
        </w:rPr>
        <w:t xml:space="preserve"> </w:t>
      </w:r>
      <w:r w:rsidRPr="00A4319A">
        <w:rPr>
          <w:rFonts w:ascii="Arial" w:hAnsi="Arial" w:cs="Arial"/>
          <w:b/>
          <w:u w:val="single"/>
        </w:rPr>
        <w:t>&amp; Expenses</w:t>
      </w:r>
      <w:r>
        <w:rPr>
          <w:rFonts w:ascii="Arial" w:hAnsi="Arial" w:cs="Arial"/>
        </w:rPr>
        <w:tab/>
      </w:r>
    </w:p>
    <w:p w14:paraId="40013C46" w14:textId="58B62EE0" w:rsidR="00A313D5" w:rsidRDefault="00162C79" w:rsidP="00304ACE">
      <w:pPr>
        <w:pStyle w:val="ListParagraph"/>
        <w:ind w:left="0"/>
        <w:rPr>
          <w:rFonts w:ascii="Arial" w:hAnsi="Arial" w:cs="Arial"/>
        </w:rPr>
      </w:pPr>
      <w:hyperlink r:id="rId25" w:history="1">
        <w:r w:rsidR="00A313D5" w:rsidRPr="00C9066E">
          <w:rPr>
            <w:rStyle w:val="Hyperlink"/>
            <w:rFonts w:ascii="Arial" w:hAnsi="Arial" w:cs="Arial"/>
          </w:rPr>
          <w:t xml:space="preserve">Functional </w:t>
        </w:r>
        <w:r w:rsidR="00C9066E">
          <w:rPr>
            <w:rStyle w:val="Hyperlink"/>
            <w:rFonts w:ascii="Arial" w:hAnsi="Arial" w:cs="Arial"/>
          </w:rPr>
          <w:t>A</w:t>
        </w:r>
        <w:r w:rsidR="00A313D5" w:rsidRPr="00C9066E">
          <w:rPr>
            <w:rStyle w:val="Hyperlink"/>
            <w:rFonts w:ascii="Arial" w:hAnsi="Arial" w:cs="Arial"/>
          </w:rPr>
          <w:t>reas</w:t>
        </w:r>
      </w:hyperlink>
      <w:r w:rsidR="00A313D5">
        <w:rPr>
          <w:rFonts w:ascii="Arial" w:hAnsi="Arial" w:cs="Arial"/>
        </w:rPr>
        <w:t xml:space="preserve"> are used to classify University expenses. Each functional area has a corresponding code that is used when recording financial transactions in UC Flex.</w:t>
      </w:r>
      <w:r w:rsidR="00C9066E">
        <w:rPr>
          <w:rFonts w:ascii="Arial" w:hAnsi="Arial" w:cs="Arial"/>
        </w:rPr>
        <w:t xml:space="preserve"> </w:t>
      </w:r>
    </w:p>
    <w:p w14:paraId="7405BD9E" w14:textId="1689F7EC" w:rsidR="00C9066E" w:rsidRDefault="00C9066E" w:rsidP="00304ACE">
      <w:pPr>
        <w:pStyle w:val="ListParagraph"/>
        <w:ind w:left="0"/>
        <w:rPr>
          <w:rFonts w:ascii="Arial" w:hAnsi="Arial" w:cs="Arial"/>
        </w:rPr>
      </w:pPr>
    </w:p>
    <w:p w14:paraId="29F87D4D" w14:textId="3E0DEC34" w:rsidR="00304ACE" w:rsidRDefault="00304ACE" w:rsidP="00304ACE">
      <w:pPr>
        <w:pStyle w:val="ListParagraph"/>
        <w:ind w:left="0"/>
        <w:rPr>
          <w:rFonts w:ascii="Arial" w:hAnsi="Arial" w:cs="Arial"/>
        </w:rPr>
      </w:pPr>
      <w:r>
        <w:rPr>
          <w:rFonts w:ascii="Arial" w:hAnsi="Arial" w:cs="Arial"/>
        </w:rPr>
        <w:t xml:space="preserve">Academic units should use the functional area of 3 when recording </w:t>
      </w:r>
      <w:r w:rsidR="001D13F1">
        <w:rPr>
          <w:rFonts w:ascii="Arial" w:hAnsi="Arial" w:cs="Arial"/>
        </w:rPr>
        <w:t xml:space="preserve">recovery </w:t>
      </w:r>
      <w:r>
        <w:rPr>
          <w:rFonts w:ascii="Arial" w:hAnsi="Arial" w:cs="Arial"/>
        </w:rPr>
        <w:t>and expenses.</w:t>
      </w:r>
    </w:p>
    <w:p w14:paraId="3CEBC505" w14:textId="77777777" w:rsidR="00304ACE" w:rsidRDefault="00304ACE" w:rsidP="007D0030">
      <w:pPr>
        <w:pStyle w:val="ListParagraph"/>
        <w:ind w:left="0"/>
        <w:rPr>
          <w:rFonts w:ascii="Arial" w:hAnsi="Arial" w:cs="Arial"/>
        </w:rPr>
      </w:pPr>
    </w:p>
    <w:p w14:paraId="3BF226AF" w14:textId="16DB59EF" w:rsidR="009229F7" w:rsidRDefault="009229F7" w:rsidP="007D0030">
      <w:pPr>
        <w:pStyle w:val="ListParagraph"/>
        <w:ind w:left="0"/>
        <w:rPr>
          <w:rFonts w:ascii="Arial" w:hAnsi="Arial" w:cs="Arial"/>
        </w:rPr>
      </w:pPr>
      <w:r>
        <w:rPr>
          <w:rFonts w:ascii="Arial" w:hAnsi="Arial" w:cs="Arial"/>
        </w:rPr>
        <w:t>Non-Academic units should use the functional are</w:t>
      </w:r>
      <w:r w:rsidR="003246FD">
        <w:rPr>
          <w:rFonts w:ascii="Arial" w:hAnsi="Arial" w:cs="Arial"/>
        </w:rPr>
        <w:t>a</w:t>
      </w:r>
      <w:r>
        <w:rPr>
          <w:rFonts w:ascii="Arial" w:hAnsi="Arial" w:cs="Arial"/>
        </w:rPr>
        <w:t xml:space="preserve"> that is appropriate to the service being provided. For example, Utilities and UCit would use the functional area of 6 and Printing Services would use the functional area of 5 when recording</w:t>
      </w:r>
      <w:r w:rsidR="008715AD">
        <w:rPr>
          <w:rFonts w:ascii="Arial" w:hAnsi="Arial" w:cs="Arial"/>
        </w:rPr>
        <w:t xml:space="preserve"> </w:t>
      </w:r>
      <w:r w:rsidR="001D13F1">
        <w:rPr>
          <w:rFonts w:ascii="Arial" w:hAnsi="Arial" w:cs="Arial"/>
        </w:rPr>
        <w:t>recovery</w:t>
      </w:r>
      <w:r>
        <w:rPr>
          <w:rFonts w:ascii="Arial" w:hAnsi="Arial" w:cs="Arial"/>
        </w:rPr>
        <w:t xml:space="preserve"> and expenses.</w:t>
      </w:r>
    </w:p>
    <w:p w14:paraId="53C2E78E" w14:textId="77777777" w:rsidR="00304ACE" w:rsidRDefault="00304ACE" w:rsidP="00A4319A">
      <w:pPr>
        <w:rPr>
          <w:rFonts w:ascii="Arial" w:hAnsi="Arial" w:cs="Arial"/>
          <w:b/>
          <w:u w:val="single"/>
        </w:rPr>
      </w:pPr>
    </w:p>
    <w:p w14:paraId="773A2692" w14:textId="77777777" w:rsidR="00A4319A" w:rsidRPr="00A4319A" w:rsidRDefault="00A4319A" w:rsidP="00A4319A">
      <w:pPr>
        <w:rPr>
          <w:rFonts w:ascii="Arial" w:hAnsi="Arial" w:cs="Arial"/>
          <w:b/>
          <w:u w:val="single"/>
        </w:rPr>
      </w:pPr>
      <w:r w:rsidRPr="00A4319A">
        <w:rPr>
          <w:rFonts w:ascii="Arial" w:hAnsi="Arial" w:cs="Arial"/>
          <w:b/>
          <w:u w:val="single"/>
        </w:rPr>
        <w:t>Subsidy Transfers</w:t>
      </w:r>
    </w:p>
    <w:p w14:paraId="0CE6B623" w14:textId="77777777" w:rsidR="00A4319A" w:rsidRDefault="00A4319A" w:rsidP="007D0030">
      <w:pPr>
        <w:pStyle w:val="ListParagraph"/>
        <w:ind w:left="0"/>
        <w:rPr>
          <w:rFonts w:ascii="Arial" w:hAnsi="Arial" w:cs="Arial"/>
        </w:rPr>
      </w:pPr>
      <w:r>
        <w:rPr>
          <w:rFonts w:ascii="Arial" w:hAnsi="Arial" w:cs="Arial"/>
        </w:rPr>
        <w:t xml:space="preserve">Subsidies should be processed </w:t>
      </w:r>
      <w:r w:rsidRPr="00C84083">
        <w:rPr>
          <w:rFonts w:ascii="Arial" w:hAnsi="Arial" w:cs="Arial"/>
        </w:rPr>
        <w:t>using the A123 form.</w:t>
      </w:r>
      <w:r>
        <w:rPr>
          <w:rFonts w:ascii="Arial" w:hAnsi="Arial" w:cs="Arial"/>
        </w:rPr>
        <w:t xml:space="preserve"> The A123 form must be submitted to the budget office for processing.</w:t>
      </w:r>
    </w:p>
    <w:p w14:paraId="4564545B" w14:textId="77777777" w:rsidR="00A82F29" w:rsidRPr="002E240E" w:rsidRDefault="00357425" w:rsidP="00A12858">
      <w:pPr>
        <w:pStyle w:val="PlainText"/>
        <w:rPr>
          <w:rFonts w:ascii="Arial" w:hAnsi="Arial" w:cs="Arial"/>
          <w:b/>
          <w:sz w:val="32"/>
          <w:szCs w:val="32"/>
        </w:rPr>
      </w:pPr>
      <w:r>
        <w:rPr>
          <w:rFonts w:ascii="Arial" w:hAnsi="Arial" w:cs="Arial"/>
          <w:b/>
          <w:sz w:val="32"/>
          <w:szCs w:val="32"/>
        </w:rPr>
        <w:t>D</w:t>
      </w:r>
      <w:r w:rsidR="00A12858">
        <w:rPr>
          <w:rFonts w:ascii="Arial" w:hAnsi="Arial" w:cs="Arial"/>
          <w:b/>
          <w:sz w:val="32"/>
          <w:szCs w:val="32"/>
        </w:rPr>
        <w:t>ISSOLUTION OF A SERVICE CENTER</w:t>
      </w:r>
    </w:p>
    <w:p w14:paraId="35050877" w14:textId="77777777" w:rsidR="004619DD" w:rsidRDefault="004619DD" w:rsidP="007D0030">
      <w:pPr>
        <w:pStyle w:val="ListParagraph"/>
        <w:ind w:left="0"/>
        <w:rPr>
          <w:rFonts w:ascii="Arial" w:hAnsi="Arial" w:cs="Arial"/>
        </w:rPr>
      </w:pPr>
    </w:p>
    <w:p w14:paraId="1D229C2B" w14:textId="77777777" w:rsidR="00F3374C" w:rsidRDefault="00F3374C" w:rsidP="007D0030">
      <w:pPr>
        <w:pStyle w:val="ListParagraph"/>
        <w:ind w:left="0"/>
        <w:rPr>
          <w:rFonts w:ascii="Arial" w:hAnsi="Arial" w:cs="Arial"/>
        </w:rPr>
      </w:pPr>
      <w:r>
        <w:rPr>
          <w:rFonts w:ascii="Arial" w:hAnsi="Arial" w:cs="Arial"/>
        </w:rPr>
        <w:t xml:space="preserve">Service Center </w:t>
      </w:r>
      <w:r w:rsidR="009229F7">
        <w:rPr>
          <w:rFonts w:ascii="Arial" w:hAnsi="Arial" w:cs="Arial"/>
        </w:rPr>
        <w:t>should</w:t>
      </w:r>
      <w:r>
        <w:rPr>
          <w:rFonts w:ascii="Arial" w:hAnsi="Arial" w:cs="Arial"/>
        </w:rPr>
        <w:t xml:space="preserve"> be closed if it is no longer necessary and/or viable. The </w:t>
      </w:r>
      <w:r w:rsidR="009229F7">
        <w:rPr>
          <w:rFonts w:ascii="Arial" w:hAnsi="Arial" w:cs="Arial"/>
        </w:rPr>
        <w:t>closeout</w:t>
      </w:r>
      <w:r>
        <w:rPr>
          <w:rFonts w:ascii="Arial" w:hAnsi="Arial" w:cs="Arial"/>
        </w:rPr>
        <w:t xml:space="preserve"> procedures </w:t>
      </w:r>
      <w:r w:rsidR="005B2065">
        <w:rPr>
          <w:rFonts w:ascii="Arial" w:hAnsi="Arial" w:cs="Arial"/>
        </w:rPr>
        <w:t>include</w:t>
      </w:r>
      <w:r>
        <w:rPr>
          <w:rFonts w:ascii="Arial" w:hAnsi="Arial" w:cs="Arial"/>
        </w:rPr>
        <w:t>:</w:t>
      </w:r>
    </w:p>
    <w:p w14:paraId="53CDD66A" w14:textId="77777777" w:rsidR="00BF64C8" w:rsidRDefault="00BF64C8" w:rsidP="007D0030">
      <w:pPr>
        <w:pStyle w:val="ListParagraph"/>
        <w:ind w:left="0"/>
        <w:rPr>
          <w:rFonts w:ascii="Arial" w:hAnsi="Arial" w:cs="Arial"/>
        </w:rPr>
      </w:pPr>
    </w:p>
    <w:p w14:paraId="1AA79493" w14:textId="63D6F9D4" w:rsidR="00BF64C8" w:rsidRDefault="00BF64C8" w:rsidP="005B2065">
      <w:pPr>
        <w:pStyle w:val="ListParagraph"/>
        <w:numPr>
          <w:ilvl w:val="0"/>
          <w:numId w:val="17"/>
        </w:numPr>
        <w:rPr>
          <w:rFonts w:ascii="Arial" w:hAnsi="Arial" w:cs="Arial"/>
        </w:rPr>
      </w:pPr>
      <w:r>
        <w:rPr>
          <w:rFonts w:ascii="Arial" w:hAnsi="Arial" w:cs="Arial"/>
        </w:rPr>
        <w:t>Removing all personnel from the Service Center</w:t>
      </w:r>
      <w:r w:rsidR="003720F7">
        <w:rPr>
          <w:rFonts w:ascii="Arial" w:hAnsi="Arial" w:cs="Arial"/>
        </w:rPr>
        <w:t>.</w:t>
      </w:r>
    </w:p>
    <w:p w14:paraId="29FB8CBE" w14:textId="493B325A" w:rsidR="00BF64C8" w:rsidRDefault="005B2065" w:rsidP="005B2065">
      <w:pPr>
        <w:pStyle w:val="ListParagraph"/>
        <w:numPr>
          <w:ilvl w:val="0"/>
          <w:numId w:val="17"/>
        </w:numPr>
        <w:rPr>
          <w:rFonts w:ascii="Arial" w:hAnsi="Arial" w:cs="Arial"/>
        </w:rPr>
      </w:pPr>
      <w:r>
        <w:rPr>
          <w:rFonts w:ascii="Arial" w:hAnsi="Arial" w:cs="Arial"/>
        </w:rPr>
        <w:t>Cancelling or moving outstanding purchase orders</w:t>
      </w:r>
      <w:r w:rsidR="003720F7">
        <w:rPr>
          <w:rFonts w:ascii="Arial" w:hAnsi="Arial" w:cs="Arial"/>
        </w:rPr>
        <w:t>.</w:t>
      </w:r>
    </w:p>
    <w:p w14:paraId="3253177C" w14:textId="1F155C14" w:rsidR="005B2065" w:rsidRDefault="005B2065" w:rsidP="005B2065">
      <w:pPr>
        <w:pStyle w:val="ListParagraph"/>
        <w:numPr>
          <w:ilvl w:val="0"/>
          <w:numId w:val="17"/>
        </w:numPr>
        <w:rPr>
          <w:rFonts w:ascii="Arial" w:hAnsi="Arial" w:cs="Arial"/>
        </w:rPr>
      </w:pPr>
      <w:r>
        <w:rPr>
          <w:rFonts w:ascii="Arial" w:hAnsi="Arial" w:cs="Arial"/>
        </w:rPr>
        <w:t xml:space="preserve">Transfer capital </w:t>
      </w:r>
      <w:r w:rsidR="003720F7">
        <w:rPr>
          <w:rFonts w:ascii="Arial" w:hAnsi="Arial" w:cs="Arial"/>
        </w:rPr>
        <w:t xml:space="preserve">assets </w:t>
      </w:r>
      <w:r>
        <w:rPr>
          <w:rFonts w:ascii="Arial" w:hAnsi="Arial" w:cs="Arial"/>
        </w:rPr>
        <w:t>out of the Service Center</w:t>
      </w:r>
      <w:r w:rsidR="003720F7">
        <w:rPr>
          <w:rFonts w:ascii="Arial" w:hAnsi="Arial" w:cs="Arial"/>
        </w:rPr>
        <w:t>.</w:t>
      </w:r>
    </w:p>
    <w:p w14:paraId="38B8CE4F" w14:textId="77777777" w:rsidR="005B2065" w:rsidRDefault="005B2065" w:rsidP="005B2065">
      <w:pPr>
        <w:pStyle w:val="ListParagraph"/>
        <w:numPr>
          <w:ilvl w:val="0"/>
          <w:numId w:val="17"/>
        </w:numPr>
        <w:rPr>
          <w:rFonts w:ascii="Arial" w:hAnsi="Arial" w:cs="Arial"/>
        </w:rPr>
      </w:pPr>
      <w:r>
        <w:rPr>
          <w:rFonts w:ascii="Arial" w:hAnsi="Arial" w:cs="Arial"/>
        </w:rPr>
        <w:t>Submit transfer request (A123) to the budget office to move remaining funds or cover any deficits.</w:t>
      </w:r>
    </w:p>
    <w:p w14:paraId="24CF7382" w14:textId="77777777" w:rsidR="005B2065" w:rsidRDefault="005B2065" w:rsidP="005B2065">
      <w:pPr>
        <w:pStyle w:val="ListParagraph"/>
        <w:numPr>
          <w:ilvl w:val="0"/>
          <w:numId w:val="17"/>
        </w:numPr>
        <w:rPr>
          <w:rFonts w:ascii="Arial" w:hAnsi="Arial" w:cs="Arial"/>
        </w:rPr>
      </w:pPr>
      <w:r>
        <w:rPr>
          <w:rFonts w:ascii="Arial" w:hAnsi="Arial" w:cs="Arial"/>
        </w:rPr>
        <w:t>Complete and submit form A200 to the controller’s office.</w:t>
      </w:r>
    </w:p>
    <w:p w14:paraId="458F0EA7" w14:textId="77777777" w:rsidR="00F3374C" w:rsidRDefault="00F3374C" w:rsidP="007D0030">
      <w:pPr>
        <w:pStyle w:val="ListParagraph"/>
        <w:ind w:left="0"/>
        <w:rPr>
          <w:rFonts w:ascii="Arial" w:hAnsi="Arial" w:cs="Arial"/>
        </w:rPr>
      </w:pPr>
    </w:p>
    <w:p w14:paraId="1C320100" w14:textId="77777777" w:rsidR="00F3374C" w:rsidRDefault="00F3374C" w:rsidP="007D0030">
      <w:pPr>
        <w:pStyle w:val="ListParagraph"/>
        <w:ind w:left="0"/>
        <w:rPr>
          <w:rFonts w:ascii="Arial" w:hAnsi="Arial" w:cs="Arial"/>
        </w:rPr>
      </w:pPr>
      <w:r>
        <w:rPr>
          <w:rFonts w:ascii="Arial" w:hAnsi="Arial" w:cs="Arial"/>
        </w:rPr>
        <w:tab/>
      </w:r>
    </w:p>
    <w:p w14:paraId="455D18CB" w14:textId="77777777" w:rsidR="004619DD" w:rsidRDefault="004619DD" w:rsidP="007D0030">
      <w:pPr>
        <w:pStyle w:val="ListParagraph"/>
        <w:ind w:left="0"/>
        <w:rPr>
          <w:rFonts w:ascii="Arial" w:hAnsi="Arial" w:cs="Arial"/>
        </w:rPr>
      </w:pPr>
    </w:p>
    <w:p w14:paraId="1F8CFBA4" w14:textId="77777777" w:rsidR="004619DD" w:rsidRDefault="004619DD" w:rsidP="007D0030">
      <w:pPr>
        <w:pStyle w:val="ListParagraph"/>
        <w:ind w:left="0"/>
        <w:rPr>
          <w:rFonts w:ascii="Arial" w:hAnsi="Arial" w:cs="Arial"/>
        </w:rPr>
      </w:pPr>
    </w:p>
    <w:p w14:paraId="7E9E7886" w14:textId="77777777" w:rsidR="004619DD" w:rsidRDefault="004619DD" w:rsidP="007D0030">
      <w:pPr>
        <w:pStyle w:val="ListParagraph"/>
        <w:ind w:left="0"/>
        <w:rPr>
          <w:rFonts w:ascii="Arial" w:hAnsi="Arial" w:cs="Arial"/>
        </w:rPr>
      </w:pPr>
    </w:p>
    <w:p w14:paraId="2082A47E" w14:textId="77777777" w:rsidR="00E407E8" w:rsidRDefault="00E407E8">
      <w:pPr>
        <w:rPr>
          <w:rFonts w:ascii="Arial" w:hAnsi="Arial" w:cs="Arial"/>
          <w:sz w:val="32"/>
          <w:szCs w:val="32"/>
        </w:rPr>
      </w:pPr>
    </w:p>
    <w:p w14:paraId="4EED3A55" w14:textId="77777777" w:rsidR="005B5B32" w:rsidRDefault="005B5B32">
      <w:pPr>
        <w:rPr>
          <w:rFonts w:ascii="Arial" w:hAnsi="Arial" w:cs="Arial"/>
          <w:sz w:val="32"/>
          <w:szCs w:val="32"/>
        </w:rPr>
      </w:pPr>
    </w:p>
    <w:p w14:paraId="7DE3B06F" w14:textId="77777777" w:rsidR="005B5B32" w:rsidRDefault="005B5B32">
      <w:pPr>
        <w:rPr>
          <w:rFonts w:ascii="Arial" w:hAnsi="Arial" w:cs="Arial"/>
          <w:sz w:val="32"/>
          <w:szCs w:val="32"/>
        </w:rPr>
      </w:pPr>
    </w:p>
    <w:p w14:paraId="22F47F32" w14:textId="77777777" w:rsidR="005B5B32" w:rsidRDefault="005B5B32">
      <w:pPr>
        <w:rPr>
          <w:rFonts w:ascii="Arial" w:hAnsi="Arial" w:cs="Arial"/>
          <w:sz w:val="32"/>
          <w:szCs w:val="32"/>
        </w:rPr>
      </w:pPr>
    </w:p>
    <w:p w14:paraId="18C07829" w14:textId="77777777" w:rsidR="005B5B32" w:rsidRDefault="005B5B32">
      <w:pPr>
        <w:rPr>
          <w:rFonts w:ascii="Arial" w:hAnsi="Arial" w:cs="Arial"/>
          <w:sz w:val="32"/>
          <w:szCs w:val="32"/>
        </w:rPr>
      </w:pPr>
    </w:p>
    <w:p w14:paraId="2ACE6BF3" w14:textId="77777777" w:rsidR="005B5B32" w:rsidRDefault="005B5B32">
      <w:pPr>
        <w:rPr>
          <w:rFonts w:ascii="Arial" w:hAnsi="Arial" w:cs="Arial"/>
          <w:sz w:val="32"/>
          <w:szCs w:val="32"/>
        </w:rPr>
      </w:pPr>
    </w:p>
    <w:p w14:paraId="4C1025D0" w14:textId="77777777" w:rsidR="005B5B32" w:rsidRDefault="005B5B32">
      <w:pPr>
        <w:rPr>
          <w:rFonts w:ascii="Arial" w:hAnsi="Arial" w:cs="Arial"/>
          <w:sz w:val="32"/>
          <w:szCs w:val="32"/>
        </w:rPr>
      </w:pPr>
    </w:p>
    <w:p w14:paraId="4CDBE869" w14:textId="39E769C7" w:rsidR="005B5B32" w:rsidRDefault="005B5B32">
      <w:pPr>
        <w:rPr>
          <w:rFonts w:ascii="Arial" w:hAnsi="Arial" w:cs="Arial"/>
          <w:sz w:val="32"/>
          <w:szCs w:val="32"/>
        </w:rPr>
      </w:pPr>
    </w:p>
    <w:p w14:paraId="7DD1CB6F" w14:textId="0008DAAD" w:rsidR="009924C0" w:rsidRDefault="009924C0">
      <w:pPr>
        <w:rPr>
          <w:rFonts w:ascii="Arial" w:hAnsi="Arial" w:cs="Arial"/>
          <w:sz w:val="32"/>
          <w:szCs w:val="32"/>
        </w:rPr>
      </w:pPr>
    </w:p>
    <w:p w14:paraId="6EB9C343" w14:textId="308CCE22" w:rsidR="009924C0" w:rsidRDefault="009924C0">
      <w:pPr>
        <w:rPr>
          <w:rFonts w:ascii="Arial" w:hAnsi="Arial" w:cs="Arial"/>
          <w:sz w:val="32"/>
          <w:szCs w:val="32"/>
        </w:rPr>
      </w:pPr>
    </w:p>
    <w:p w14:paraId="24CCBD7A" w14:textId="1FC10557" w:rsidR="009924C0" w:rsidRDefault="009924C0">
      <w:pPr>
        <w:rPr>
          <w:rFonts w:ascii="Arial" w:hAnsi="Arial" w:cs="Arial"/>
          <w:sz w:val="32"/>
          <w:szCs w:val="32"/>
        </w:rPr>
      </w:pPr>
    </w:p>
    <w:p w14:paraId="4AF6A41C" w14:textId="77777777" w:rsidR="009924C0" w:rsidRDefault="009924C0">
      <w:pPr>
        <w:rPr>
          <w:rFonts w:ascii="Arial" w:hAnsi="Arial" w:cs="Arial"/>
          <w:sz w:val="32"/>
          <w:szCs w:val="32"/>
        </w:rPr>
      </w:pPr>
    </w:p>
    <w:p w14:paraId="2B6FDBBD" w14:textId="77777777" w:rsidR="007509EA" w:rsidRDefault="007509EA">
      <w:pPr>
        <w:rPr>
          <w:rFonts w:ascii="Arial" w:hAnsi="Arial" w:cs="Arial"/>
          <w:sz w:val="32"/>
          <w:szCs w:val="32"/>
        </w:rPr>
      </w:pPr>
    </w:p>
    <w:p w14:paraId="7D4DA218" w14:textId="77777777" w:rsidR="005B5B32" w:rsidRDefault="005B5B32">
      <w:pPr>
        <w:rPr>
          <w:rFonts w:ascii="Arial" w:hAnsi="Arial" w:cs="Arial"/>
          <w:sz w:val="32"/>
          <w:szCs w:val="32"/>
        </w:rPr>
      </w:pPr>
    </w:p>
    <w:p w14:paraId="26507B04" w14:textId="77777777" w:rsidR="005B5B32" w:rsidRDefault="007F6D78">
      <w:pPr>
        <w:rPr>
          <w:rFonts w:ascii="Arial" w:hAnsi="Arial" w:cs="Arial"/>
          <w:b/>
          <w:sz w:val="32"/>
          <w:szCs w:val="32"/>
        </w:rPr>
      </w:pPr>
      <w:bookmarkStart w:id="2" w:name="Questionnaire"/>
      <w:r w:rsidRPr="007F6D78">
        <w:rPr>
          <w:rFonts w:ascii="Arial" w:hAnsi="Arial" w:cs="Arial"/>
          <w:b/>
          <w:sz w:val="32"/>
          <w:szCs w:val="32"/>
        </w:rPr>
        <w:t>Service Center Questionnaire</w:t>
      </w:r>
      <w:r w:rsidR="004F74FD">
        <w:rPr>
          <w:rFonts w:ascii="Arial" w:hAnsi="Arial" w:cs="Arial"/>
          <w:b/>
          <w:sz w:val="32"/>
          <w:szCs w:val="32"/>
        </w:rPr>
        <w:t xml:space="preserve"> Example</w:t>
      </w:r>
      <w:bookmarkEnd w:id="2"/>
      <w:r w:rsidR="00A06CF8">
        <w:rPr>
          <w:rFonts w:ascii="Arial" w:hAnsi="Arial" w:cs="Arial"/>
          <w:b/>
          <w:sz w:val="32"/>
          <w:szCs w:val="32"/>
        </w:rPr>
        <w:t>:</w:t>
      </w:r>
    </w:p>
    <w:p w14:paraId="788C0B83" w14:textId="77777777" w:rsidR="00A06CF8" w:rsidRDefault="00A06CF8">
      <w:pPr>
        <w:rPr>
          <w:rFonts w:ascii="Arial" w:hAnsi="Arial" w:cs="Arial"/>
          <w:b/>
          <w:sz w:val="32"/>
          <w:szCs w:val="32"/>
        </w:rPr>
      </w:pPr>
      <w:r>
        <w:rPr>
          <w:rFonts w:ascii="Arial" w:hAnsi="Arial" w:cs="Arial"/>
          <w:b/>
          <w:sz w:val="32"/>
          <w:szCs w:val="32"/>
        </w:rPr>
        <w:t>Questionnaire contain</w:t>
      </w:r>
      <w:r w:rsidR="008F3BE9">
        <w:rPr>
          <w:rFonts w:ascii="Arial" w:hAnsi="Arial" w:cs="Arial"/>
          <w:b/>
          <w:sz w:val="32"/>
          <w:szCs w:val="32"/>
        </w:rPr>
        <w:t xml:space="preserve"> 8</w:t>
      </w:r>
      <w:r>
        <w:rPr>
          <w:rFonts w:ascii="Arial" w:hAnsi="Arial" w:cs="Arial"/>
          <w:b/>
          <w:sz w:val="32"/>
          <w:szCs w:val="32"/>
        </w:rPr>
        <w:t xml:space="preserve"> sections that need to be completed.</w:t>
      </w:r>
    </w:p>
    <w:p w14:paraId="2FA2903C" w14:textId="77777777" w:rsidR="00A06CF8" w:rsidRDefault="00E05BB1" w:rsidP="00A06CF8">
      <w:pPr>
        <w:pStyle w:val="ListParagraph"/>
        <w:numPr>
          <w:ilvl w:val="0"/>
          <w:numId w:val="18"/>
        </w:numPr>
        <w:rPr>
          <w:rFonts w:ascii="Arial" w:hAnsi="Arial" w:cs="Arial"/>
        </w:rPr>
      </w:pPr>
      <w:r w:rsidRPr="00E05BB1">
        <w:rPr>
          <w:rFonts w:ascii="Arial" w:hAnsi="Arial" w:cs="Arial"/>
          <w:b/>
          <w:i/>
          <w:u w:val="single"/>
        </w:rPr>
        <w:t>Questionnaire Summary tab</w:t>
      </w:r>
      <w:r w:rsidR="00A06CF8" w:rsidRPr="00E05BB1">
        <w:rPr>
          <w:rFonts w:ascii="Arial" w:hAnsi="Arial" w:cs="Arial"/>
          <w:i/>
        </w:rPr>
        <w:t xml:space="preserve"> </w:t>
      </w:r>
      <w:r>
        <w:rPr>
          <w:rFonts w:ascii="Arial" w:hAnsi="Arial" w:cs="Arial"/>
          <w:i/>
        </w:rPr>
        <w:t xml:space="preserve">- </w:t>
      </w:r>
      <w:r w:rsidR="00A06CF8" w:rsidRPr="00A06CF8">
        <w:rPr>
          <w:rFonts w:ascii="Arial" w:hAnsi="Arial" w:cs="Arial"/>
        </w:rPr>
        <w:t xml:space="preserve">which </w:t>
      </w:r>
      <w:r w:rsidR="00A06CF8">
        <w:rPr>
          <w:rFonts w:ascii="Arial" w:hAnsi="Arial" w:cs="Arial"/>
        </w:rPr>
        <w:t>provides</w:t>
      </w:r>
      <w:r w:rsidR="00A06CF8" w:rsidRPr="00A06CF8">
        <w:rPr>
          <w:rFonts w:ascii="Arial" w:hAnsi="Arial" w:cs="Arial"/>
        </w:rPr>
        <w:t xml:space="preserve"> Service Center general information, a summ</w:t>
      </w:r>
      <w:r w:rsidR="00A06CF8">
        <w:rPr>
          <w:rFonts w:ascii="Arial" w:hAnsi="Arial" w:cs="Arial"/>
        </w:rPr>
        <w:t>ary of the costs for each rate, a rate calculation,</w:t>
      </w:r>
      <w:r w:rsidR="00A06CF8" w:rsidRPr="00A06CF8">
        <w:rPr>
          <w:rFonts w:ascii="Arial" w:hAnsi="Arial" w:cs="Arial"/>
        </w:rPr>
        <w:t xml:space="preserve"> projected billable unit</w:t>
      </w:r>
      <w:r w:rsidR="00A06CF8">
        <w:rPr>
          <w:rFonts w:ascii="Arial" w:hAnsi="Arial" w:cs="Arial"/>
        </w:rPr>
        <w:t>s, projected recovery, and an approval section.</w:t>
      </w:r>
    </w:p>
    <w:p w14:paraId="0A841A27" w14:textId="77777777" w:rsidR="00A06CF8" w:rsidRDefault="00A06CF8">
      <w:pPr>
        <w:rPr>
          <w:rFonts w:ascii="Arial" w:hAnsi="Arial" w:cs="Arial"/>
          <w:b/>
          <w:sz w:val="32"/>
          <w:szCs w:val="32"/>
        </w:rPr>
      </w:pPr>
      <w:r w:rsidRPr="00A06CF8">
        <w:rPr>
          <w:noProof/>
        </w:rPr>
        <w:drawing>
          <wp:anchor distT="0" distB="0" distL="114300" distR="114300" simplePos="0" relativeHeight="251657216" behindDoc="0" locked="0" layoutInCell="1" allowOverlap="1" wp14:anchorId="428AA8E9" wp14:editId="5C7EC6DD">
            <wp:simplePos x="0" y="0"/>
            <wp:positionH relativeFrom="margin">
              <wp:align>left</wp:align>
            </wp:positionH>
            <wp:positionV relativeFrom="paragraph">
              <wp:posOffset>-2517</wp:posOffset>
            </wp:positionV>
            <wp:extent cx="4992491" cy="73770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92491" cy="73770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C012B" w14:textId="77777777" w:rsidR="007F6D78" w:rsidRPr="007F6D78" w:rsidRDefault="007F6D78" w:rsidP="007F6D78">
      <w:pPr>
        <w:rPr>
          <w:rFonts w:ascii="Arial" w:hAnsi="Arial" w:cs="Arial"/>
        </w:rPr>
      </w:pPr>
    </w:p>
    <w:p w14:paraId="60F58E89" w14:textId="77777777" w:rsidR="007F6D78" w:rsidRDefault="007F6D78">
      <w:pPr>
        <w:rPr>
          <w:rFonts w:ascii="Arial" w:hAnsi="Arial" w:cs="Arial"/>
          <w:sz w:val="32"/>
          <w:szCs w:val="32"/>
        </w:rPr>
      </w:pPr>
    </w:p>
    <w:p w14:paraId="4769F549" w14:textId="77777777" w:rsidR="005B5B32" w:rsidRDefault="005B5B32">
      <w:pPr>
        <w:rPr>
          <w:rFonts w:ascii="Arial" w:hAnsi="Arial" w:cs="Arial"/>
          <w:sz w:val="32"/>
          <w:szCs w:val="32"/>
        </w:rPr>
      </w:pPr>
    </w:p>
    <w:p w14:paraId="46F3D15A" w14:textId="77777777" w:rsidR="005B5B32" w:rsidRDefault="005B5B32">
      <w:pPr>
        <w:rPr>
          <w:rFonts w:ascii="Arial" w:hAnsi="Arial" w:cs="Arial"/>
          <w:sz w:val="32"/>
          <w:szCs w:val="32"/>
        </w:rPr>
      </w:pPr>
    </w:p>
    <w:p w14:paraId="12B34FC0" w14:textId="77777777" w:rsidR="005B5B32" w:rsidRDefault="005B5B32">
      <w:pPr>
        <w:rPr>
          <w:rFonts w:ascii="Arial" w:hAnsi="Arial" w:cs="Arial"/>
          <w:sz w:val="32"/>
          <w:szCs w:val="32"/>
        </w:rPr>
      </w:pPr>
    </w:p>
    <w:p w14:paraId="04073B5E" w14:textId="77777777" w:rsidR="005B5B32" w:rsidRDefault="005B5B32">
      <w:pPr>
        <w:rPr>
          <w:rFonts w:ascii="Arial" w:hAnsi="Arial" w:cs="Arial"/>
          <w:sz w:val="32"/>
          <w:szCs w:val="32"/>
        </w:rPr>
      </w:pPr>
    </w:p>
    <w:p w14:paraId="247D249F" w14:textId="77777777" w:rsidR="005B5B32" w:rsidRDefault="005B5B32">
      <w:pPr>
        <w:rPr>
          <w:rFonts w:ascii="Arial" w:hAnsi="Arial" w:cs="Arial"/>
          <w:sz w:val="32"/>
          <w:szCs w:val="32"/>
        </w:rPr>
      </w:pPr>
    </w:p>
    <w:p w14:paraId="6FF2A653" w14:textId="77777777" w:rsidR="00FA622B" w:rsidRDefault="00FA622B">
      <w:pPr>
        <w:rPr>
          <w:rFonts w:ascii="Arial" w:hAnsi="Arial" w:cs="Arial"/>
          <w:sz w:val="32"/>
          <w:szCs w:val="32"/>
        </w:rPr>
      </w:pPr>
    </w:p>
    <w:p w14:paraId="4AE3B1B1" w14:textId="77777777" w:rsidR="00FA622B" w:rsidRDefault="00FA622B">
      <w:pPr>
        <w:rPr>
          <w:rFonts w:ascii="Arial" w:hAnsi="Arial" w:cs="Arial"/>
          <w:sz w:val="32"/>
          <w:szCs w:val="32"/>
        </w:rPr>
      </w:pPr>
    </w:p>
    <w:p w14:paraId="1C24B0BD" w14:textId="77777777" w:rsidR="00FA622B" w:rsidRDefault="00FA622B">
      <w:pPr>
        <w:rPr>
          <w:rFonts w:ascii="Arial" w:hAnsi="Arial" w:cs="Arial"/>
          <w:sz w:val="32"/>
          <w:szCs w:val="32"/>
        </w:rPr>
      </w:pPr>
    </w:p>
    <w:p w14:paraId="469D098B" w14:textId="77777777" w:rsidR="00FA622B" w:rsidRDefault="00FA622B">
      <w:pPr>
        <w:rPr>
          <w:rFonts w:ascii="Arial" w:hAnsi="Arial" w:cs="Arial"/>
          <w:sz w:val="32"/>
          <w:szCs w:val="32"/>
        </w:rPr>
      </w:pPr>
    </w:p>
    <w:p w14:paraId="1183ECE5" w14:textId="77777777" w:rsidR="00FA622B" w:rsidRDefault="00FA622B">
      <w:pPr>
        <w:rPr>
          <w:rFonts w:ascii="Arial" w:hAnsi="Arial" w:cs="Arial"/>
          <w:sz w:val="32"/>
          <w:szCs w:val="32"/>
        </w:rPr>
      </w:pPr>
    </w:p>
    <w:p w14:paraId="0D23C70A" w14:textId="77777777" w:rsidR="00FA622B" w:rsidRDefault="00FA622B">
      <w:pPr>
        <w:rPr>
          <w:rFonts w:ascii="Arial" w:hAnsi="Arial" w:cs="Arial"/>
          <w:sz w:val="32"/>
          <w:szCs w:val="32"/>
        </w:rPr>
      </w:pPr>
    </w:p>
    <w:p w14:paraId="309786CD" w14:textId="77777777" w:rsidR="00FA622B" w:rsidRDefault="00FA622B">
      <w:pPr>
        <w:rPr>
          <w:rFonts w:ascii="Arial" w:hAnsi="Arial" w:cs="Arial"/>
          <w:sz w:val="32"/>
          <w:szCs w:val="32"/>
        </w:rPr>
      </w:pPr>
    </w:p>
    <w:p w14:paraId="401B3AD8" w14:textId="77777777" w:rsidR="00FA622B" w:rsidRDefault="00FA622B">
      <w:pPr>
        <w:rPr>
          <w:rFonts w:ascii="Arial" w:hAnsi="Arial" w:cs="Arial"/>
          <w:sz w:val="32"/>
          <w:szCs w:val="32"/>
        </w:rPr>
      </w:pPr>
    </w:p>
    <w:p w14:paraId="6FAD382C" w14:textId="77777777" w:rsidR="00FA622B" w:rsidRDefault="00FA622B">
      <w:pPr>
        <w:rPr>
          <w:rFonts w:ascii="Arial" w:hAnsi="Arial" w:cs="Arial"/>
          <w:sz w:val="32"/>
          <w:szCs w:val="32"/>
        </w:rPr>
      </w:pPr>
    </w:p>
    <w:p w14:paraId="6350E9AB" w14:textId="77777777" w:rsidR="00FA622B" w:rsidRDefault="00FA622B">
      <w:pPr>
        <w:rPr>
          <w:rFonts w:ascii="Arial" w:hAnsi="Arial" w:cs="Arial"/>
          <w:sz w:val="32"/>
          <w:szCs w:val="32"/>
        </w:rPr>
      </w:pPr>
    </w:p>
    <w:p w14:paraId="32211E5D" w14:textId="77777777" w:rsidR="00FA622B" w:rsidRDefault="00FA622B">
      <w:pPr>
        <w:rPr>
          <w:rFonts w:ascii="Arial" w:hAnsi="Arial" w:cs="Arial"/>
          <w:sz w:val="32"/>
          <w:szCs w:val="32"/>
        </w:rPr>
      </w:pPr>
    </w:p>
    <w:p w14:paraId="3B969613" w14:textId="77777777" w:rsidR="00FA622B" w:rsidRPr="00E05BB1" w:rsidRDefault="00E05BB1" w:rsidP="00FA622B">
      <w:pPr>
        <w:pStyle w:val="ListParagraph"/>
        <w:numPr>
          <w:ilvl w:val="0"/>
          <w:numId w:val="18"/>
        </w:numPr>
        <w:rPr>
          <w:rFonts w:ascii="Arial" w:hAnsi="Arial" w:cs="Arial"/>
        </w:rPr>
      </w:pPr>
      <w:bookmarkStart w:id="3" w:name="Budget"/>
      <w:r w:rsidRPr="00E05BB1">
        <w:rPr>
          <w:rFonts w:ascii="Arial" w:hAnsi="Arial" w:cs="Arial"/>
          <w:b/>
          <w:i/>
          <w:u w:val="single"/>
        </w:rPr>
        <w:t>Questionnaire Budget tab</w:t>
      </w:r>
      <w:r w:rsidR="00FA622B" w:rsidRPr="00E05BB1">
        <w:rPr>
          <w:rFonts w:ascii="Arial" w:hAnsi="Arial" w:cs="Arial"/>
        </w:rPr>
        <w:t xml:space="preserve"> </w:t>
      </w:r>
      <w:bookmarkEnd w:id="3"/>
      <w:r w:rsidR="00FA622B" w:rsidRPr="00E05BB1">
        <w:rPr>
          <w:rFonts w:ascii="Arial" w:hAnsi="Arial" w:cs="Arial"/>
        </w:rPr>
        <w:t xml:space="preserve">– in which all the previous </w:t>
      </w:r>
      <w:r w:rsidR="004F74FD" w:rsidRPr="00E05BB1">
        <w:rPr>
          <w:rFonts w:ascii="Arial" w:hAnsi="Arial" w:cs="Arial"/>
        </w:rPr>
        <w:t>year’s</w:t>
      </w:r>
      <w:r w:rsidR="00FA622B" w:rsidRPr="00E05BB1">
        <w:rPr>
          <w:rFonts w:ascii="Arial" w:hAnsi="Arial" w:cs="Arial"/>
        </w:rPr>
        <w:t xml:space="preserve"> actuals are reported and compared against</w:t>
      </w:r>
      <w:r w:rsidRPr="00E05BB1">
        <w:rPr>
          <w:rFonts w:ascii="Arial" w:hAnsi="Arial" w:cs="Arial"/>
        </w:rPr>
        <w:t xml:space="preserve"> the proposed budget period for the new rates. Explanations must be provided for anything that has changed by 10%.</w:t>
      </w:r>
      <w:r w:rsidR="00304ACE">
        <w:rPr>
          <w:rFonts w:ascii="Arial" w:hAnsi="Arial" w:cs="Arial"/>
        </w:rPr>
        <w:t xml:space="preserve"> The proposed budget will populate from data entered on the other questionnaire tabs.</w:t>
      </w:r>
    </w:p>
    <w:p w14:paraId="1B082AE6" w14:textId="77777777" w:rsidR="00E05BB1" w:rsidRPr="00E05BB1" w:rsidRDefault="00E05BB1" w:rsidP="00E05BB1">
      <w:pPr>
        <w:rPr>
          <w:rFonts w:ascii="Arial" w:hAnsi="Arial" w:cs="Arial"/>
          <w:sz w:val="32"/>
          <w:szCs w:val="32"/>
        </w:rPr>
      </w:pPr>
      <w:r w:rsidRPr="00E05BB1">
        <w:rPr>
          <w:noProof/>
        </w:rPr>
        <w:drawing>
          <wp:inline distT="0" distB="0" distL="0" distR="0" wp14:anchorId="069FEC6C" wp14:editId="403DA06F">
            <wp:extent cx="5943600" cy="624463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6244635"/>
                    </a:xfrm>
                    <a:prstGeom prst="rect">
                      <a:avLst/>
                    </a:prstGeom>
                    <a:noFill/>
                    <a:ln>
                      <a:noFill/>
                    </a:ln>
                  </pic:spPr>
                </pic:pic>
              </a:graphicData>
            </a:graphic>
          </wp:inline>
        </w:drawing>
      </w:r>
    </w:p>
    <w:p w14:paraId="236284C9" w14:textId="77777777" w:rsidR="00FA622B" w:rsidRDefault="00FA622B">
      <w:pPr>
        <w:rPr>
          <w:rFonts w:ascii="Arial" w:hAnsi="Arial" w:cs="Arial"/>
          <w:sz w:val="32"/>
          <w:szCs w:val="32"/>
        </w:rPr>
      </w:pPr>
    </w:p>
    <w:p w14:paraId="158CD496" w14:textId="77777777" w:rsidR="00FA622B" w:rsidRDefault="00FA622B">
      <w:pPr>
        <w:rPr>
          <w:rFonts w:ascii="Arial" w:hAnsi="Arial" w:cs="Arial"/>
          <w:sz w:val="32"/>
          <w:szCs w:val="32"/>
        </w:rPr>
      </w:pPr>
    </w:p>
    <w:p w14:paraId="56C42F7F" w14:textId="77777777" w:rsidR="00FA622B" w:rsidRDefault="00FA622B">
      <w:pPr>
        <w:rPr>
          <w:rFonts w:ascii="Arial" w:hAnsi="Arial" w:cs="Arial"/>
          <w:sz w:val="32"/>
          <w:szCs w:val="32"/>
        </w:rPr>
      </w:pPr>
    </w:p>
    <w:p w14:paraId="3F5EED09" w14:textId="77777777" w:rsidR="00E05BB1" w:rsidRDefault="00E05BB1">
      <w:pPr>
        <w:rPr>
          <w:rFonts w:ascii="Arial" w:hAnsi="Arial" w:cs="Arial"/>
          <w:sz w:val="32"/>
          <w:szCs w:val="32"/>
        </w:rPr>
      </w:pPr>
    </w:p>
    <w:p w14:paraId="37B83A34" w14:textId="77777777" w:rsidR="00E05BB1" w:rsidRDefault="00E05BB1">
      <w:pPr>
        <w:rPr>
          <w:rFonts w:ascii="Arial" w:hAnsi="Arial" w:cs="Arial"/>
        </w:rPr>
      </w:pPr>
      <w:r w:rsidRPr="008F3BE9">
        <w:rPr>
          <w:rFonts w:ascii="Arial" w:hAnsi="Arial" w:cs="Arial"/>
        </w:rPr>
        <w:t>3</w:t>
      </w:r>
      <w:bookmarkStart w:id="4" w:name="Salary"/>
      <w:r w:rsidRPr="008F3BE9">
        <w:rPr>
          <w:rFonts w:ascii="Arial" w:hAnsi="Arial" w:cs="Arial"/>
        </w:rPr>
        <w:t>.</w:t>
      </w:r>
      <w:r>
        <w:rPr>
          <w:rFonts w:ascii="Arial" w:hAnsi="Arial" w:cs="Arial"/>
          <w:sz w:val="32"/>
          <w:szCs w:val="32"/>
        </w:rPr>
        <w:t xml:space="preserve"> </w:t>
      </w:r>
      <w:r w:rsidRPr="00E05BB1">
        <w:rPr>
          <w:rFonts w:ascii="Arial" w:hAnsi="Arial" w:cs="Arial"/>
          <w:b/>
          <w:i/>
          <w:u w:val="single"/>
        </w:rPr>
        <w:t>Questionnaire Direct &amp; Indirect Personnel tab</w:t>
      </w:r>
      <w:r w:rsidRPr="00E05BB1">
        <w:rPr>
          <w:rFonts w:ascii="Arial" w:hAnsi="Arial" w:cs="Arial"/>
        </w:rPr>
        <w:t xml:space="preserve"> </w:t>
      </w:r>
      <w:bookmarkEnd w:id="4"/>
      <w:r w:rsidRPr="00E05BB1">
        <w:rPr>
          <w:rFonts w:ascii="Arial" w:hAnsi="Arial" w:cs="Arial"/>
        </w:rPr>
        <w:t>– all employees wor</w:t>
      </w:r>
      <w:r w:rsidR="001E4609">
        <w:rPr>
          <w:rFonts w:ascii="Arial" w:hAnsi="Arial" w:cs="Arial"/>
        </w:rPr>
        <w:t xml:space="preserve">king for the service center are </w:t>
      </w:r>
      <w:r w:rsidRPr="00E05BB1">
        <w:rPr>
          <w:rFonts w:ascii="Arial" w:hAnsi="Arial" w:cs="Arial"/>
        </w:rPr>
        <w:t>reported on this time along with their salaries, and the salaries expenses are allocated to the appropriate rate.</w:t>
      </w:r>
    </w:p>
    <w:p w14:paraId="319D9EC1" w14:textId="77777777" w:rsidR="00E05BB1" w:rsidRDefault="00E05BB1">
      <w:pPr>
        <w:rPr>
          <w:rFonts w:ascii="Arial" w:hAnsi="Arial" w:cs="Arial"/>
          <w:sz w:val="32"/>
          <w:szCs w:val="32"/>
        </w:rPr>
      </w:pPr>
      <w:r w:rsidRPr="00E05BB1">
        <w:rPr>
          <w:noProof/>
        </w:rPr>
        <w:drawing>
          <wp:inline distT="0" distB="0" distL="0" distR="0" wp14:anchorId="17409AD1" wp14:editId="24800B42">
            <wp:extent cx="5943600" cy="42157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4215754"/>
                    </a:xfrm>
                    <a:prstGeom prst="rect">
                      <a:avLst/>
                    </a:prstGeom>
                    <a:noFill/>
                    <a:ln>
                      <a:noFill/>
                    </a:ln>
                  </pic:spPr>
                </pic:pic>
              </a:graphicData>
            </a:graphic>
          </wp:inline>
        </w:drawing>
      </w:r>
    </w:p>
    <w:p w14:paraId="06E01EFE" w14:textId="77777777" w:rsidR="008F3BE9" w:rsidRDefault="008F3BE9">
      <w:pPr>
        <w:rPr>
          <w:rFonts w:ascii="Arial" w:hAnsi="Arial" w:cs="Arial"/>
        </w:rPr>
      </w:pPr>
    </w:p>
    <w:p w14:paraId="5F11B7AF" w14:textId="77777777" w:rsidR="008F3BE9" w:rsidRDefault="008F3BE9">
      <w:pPr>
        <w:rPr>
          <w:rFonts w:ascii="Arial" w:hAnsi="Arial" w:cs="Arial"/>
        </w:rPr>
      </w:pPr>
    </w:p>
    <w:p w14:paraId="45C0A45E" w14:textId="77777777" w:rsidR="008F3BE9" w:rsidRDefault="008F3BE9">
      <w:pPr>
        <w:rPr>
          <w:rFonts w:ascii="Arial" w:hAnsi="Arial" w:cs="Arial"/>
        </w:rPr>
      </w:pPr>
    </w:p>
    <w:p w14:paraId="0A6E844A" w14:textId="77777777" w:rsidR="008F3BE9" w:rsidRDefault="008F3BE9">
      <w:pPr>
        <w:rPr>
          <w:rFonts w:ascii="Arial" w:hAnsi="Arial" w:cs="Arial"/>
        </w:rPr>
      </w:pPr>
    </w:p>
    <w:p w14:paraId="4CD5D210" w14:textId="77777777" w:rsidR="008F3BE9" w:rsidRDefault="008F3BE9">
      <w:pPr>
        <w:rPr>
          <w:rFonts w:ascii="Arial" w:hAnsi="Arial" w:cs="Arial"/>
        </w:rPr>
      </w:pPr>
    </w:p>
    <w:p w14:paraId="41E89F15" w14:textId="77777777" w:rsidR="008F3BE9" w:rsidRDefault="008F3BE9">
      <w:pPr>
        <w:rPr>
          <w:rFonts w:ascii="Arial" w:hAnsi="Arial" w:cs="Arial"/>
        </w:rPr>
      </w:pPr>
    </w:p>
    <w:p w14:paraId="142BB85B" w14:textId="77777777" w:rsidR="008F3BE9" w:rsidRDefault="008F3BE9">
      <w:pPr>
        <w:rPr>
          <w:rFonts w:ascii="Arial" w:hAnsi="Arial" w:cs="Arial"/>
        </w:rPr>
      </w:pPr>
    </w:p>
    <w:p w14:paraId="6C4C38B9" w14:textId="77777777" w:rsidR="008F3BE9" w:rsidRDefault="008F3BE9">
      <w:pPr>
        <w:rPr>
          <w:rFonts w:ascii="Arial" w:hAnsi="Arial" w:cs="Arial"/>
        </w:rPr>
      </w:pPr>
    </w:p>
    <w:p w14:paraId="4328FDDA" w14:textId="77777777" w:rsidR="008F3BE9" w:rsidRDefault="008F3BE9">
      <w:pPr>
        <w:rPr>
          <w:rFonts w:ascii="Arial" w:hAnsi="Arial" w:cs="Arial"/>
        </w:rPr>
      </w:pPr>
    </w:p>
    <w:p w14:paraId="169F7CB9" w14:textId="77777777" w:rsidR="008F3BE9" w:rsidRDefault="008F3BE9">
      <w:pPr>
        <w:rPr>
          <w:rFonts w:ascii="Arial" w:hAnsi="Arial" w:cs="Arial"/>
        </w:rPr>
      </w:pPr>
    </w:p>
    <w:p w14:paraId="7F808797" w14:textId="77777777" w:rsidR="008F3BE9" w:rsidRDefault="008F3BE9">
      <w:pPr>
        <w:rPr>
          <w:rFonts w:ascii="Arial" w:hAnsi="Arial" w:cs="Arial"/>
        </w:rPr>
      </w:pPr>
    </w:p>
    <w:p w14:paraId="00DEA984" w14:textId="77777777" w:rsidR="008F3BE9" w:rsidRPr="008F3BE9" w:rsidRDefault="008F3BE9">
      <w:pPr>
        <w:rPr>
          <w:rFonts w:ascii="Arial" w:hAnsi="Arial" w:cs="Arial"/>
        </w:rPr>
      </w:pPr>
      <w:r w:rsidRPr="008F3BE9">
        <w:rPr>
          <w:rFonts w:ascii="Arial" w:hAnsi="Arial" w:cs="Arial"/>
        </w:rPr>
        <w:t xml:space="preserve">4. </w:t>
      </w:r>
      <w:r w:rsidRPr="008F3BE9">
        <w:rPr>
          <w:rFonts w:ascii="Arial" w:hAnsi="Arial" w:cs="Arial"/>
          <w:b/>
          <w:i/>
          <w:u w:val="single"/>
        </w:rPr>
        <w:t>Questionnaire Direct Materials tab</w:t>
      </w:r>
      <w:r w:rsidRPr="008F3BE9">
        <w:rPr>
          <w:rFonts w:ascii="Arial" w:hAnsi="Arial" w:cs="Arial"/>
        </w:rPr>
        <w:t xml:space="preserve"> – expense that are specifically </w:t>
      </w:r>
      <w:r w:rsidR="004F74FD" w:rsidRPr="008F3BE9">
        <w:rPr>
          <w:rFonts w:ascii="Arial" w:hAnsi="Arial" w:cs="Arial"/>
        </w:rPr>
        <w:t>identifiable</w:t>
      </w:r>
      <w:r w:rsidRPr="008F3BE9">
        <w:rPr>
          <w:rFonts w:ascii="Arial" w:hAnsi="Arial" w:cs="Arial"/>
        </w:rPr>
        <w:t xml:space="preserve"> with relative ease and a high degree of accuracy are </w:t>
      </w:r>
      <w:r w:rsidR="004F74FD" w:rsidRPr="008F3BE9">
        <w:rPr>
          <w:rFonts w:ascii="Arial" w:hAnsi="Arial" w:cs="Arial"/>
        </w:rPr>
        <w:t>recorded</w:t>
      </w:r>
      <w:r w:rsidRPr="008F3BE9">
        <w:rPr>
          <w:rFonts w:ascii="Arial" w:hAnsi="Arial" w:cs="Arial"/>
        </w:rPr>
        <w:t xml:space="preserve"> as </w:t>
      </w:r>
      <w:r w:rsidR="004F74FD" w:rsidRPr="008F3BE9">
        <w:rPr>
          <w:rFonts w:ascii="Arial" w:hAnsi="Arial" w:cs="Arial"/>
        </w:rPr>
        <w:t>a</w:t>
      </w:r>
      <w:r w:rsidRPr="008F3BE9">
        <w:rPr>
          <w:rFonts w:ascii="Arial" w:hAnsi="Arial" w:cs="Arial"/>
        </w:rPr>
        <w:t xml:space="preserve"> direct expense for the corresponding rate.</w:t>
      </w:r>
    </w:p>
    <w:p w14:paraId="7919D197" w14:textId="77777777" w:rsidR="008F3BE9" w:rsidRDefault="008F3BE9">
      <w:pPr>
        <w:rPr>
          <w:rFonts w:ascii="Arial" w:hAnsi="Arial" w:cs="Arial"/>
          <w:sz w:val="32"/>
          <w:szCs w:val="32"/>
        </w:rPr>
      </w:pPr>
      <w:r w:rsidRPr="008F3BE9">
        <w:rPr>
          <w:noProof/>
        </w:rPr>
        <w:drawing>
          <wp:inline distT="0" distB="0" distL="0" distR="0" wp14:anchorId="5F3CB9D1" wp14:editId="37B174C6">
            <wp:extent cx="5943600" cy="28084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08402"/>
                    </a:xfrm>
                    <a:prstGeom prst="rect">
                      <a:avLst/>
                    </a:prstGeom>
                    <a:noFill/>
                    <a:ln>
                      <a:noFill/>
                    </a:ln>
                  </pic:spPr>
                </pic:pic>
              </a:graphicData>
            </a:graphic>
          </wp:inline>
        </w:drawing>
      </w:r>
    </w:p>
    <w:p w14:paraId="6E8A873D" w14:textId="77777777" w:rsidR="008F3BE9" w:rsidRDefault="008F3BE9">
      <w:pPr>
        <w:rPr>
          <w:rFonts w:ascii="Arial" w:hAnsi="Arial" w:cs="Arial"/>
        </w:rPr>
      </w:pPr>
    </w:p>
    <w:p w14:paraId="53731E6E" w14:textId="77777777" w:rsidR="008F3BE9" w:rsidRDefault="008F3BE9">
      <w:pPr>
        <w:rPr>
          <w:rFonts w:ascii="Arial" w:hAnsi="Arial" w:cs="Arial"/>
        </w:rPr>
      </w:pPr>
    </w:p>
    <w:p w14:paraId="026331C3" w14:textId="77777777" w:rsidR="008F3BE9" w:rsidRDefault="008F3BE9">
      <w:pPr>
        <w:rPr>
          <w:rFonts w:ascii="Arial" w:hAnsi="Arial" w:cs="Arial"/>
        </w:rPr>
      </w:pPr>
    </w:p>
    <w:p w14:paraId="3278CA7A" w14:textId="117A23C4" w:rsidR="008F3BE9" w:rsidRDefault="008F3BE9">
      <w:pPr>
        <w:rPr>
          <w:rFonts w:ascii="Arial" w:hAnsi="Arial" w:cs="Arial"/>
        </w:rPr>
      </w:pPr>
      <w:r w:rsidRPr="008F3BE9">
        <w:rPr>
          <w:rFonts w:ascii="Arial" w:hAnsi="Arial" w:cs="Arial"/>
        </w:rPr>
        <w:t>5.</w:t>
      </w:r>
      <w:r>
        <w:rPr>
          <w:rFonts w:ascii="Arial" w:hAnsi="Arial" w:cs="Arial"/>
          <w:sz w:val="32"/>
          <w:szCs w:val="32"/>
        </w:rPr>
        <w:t xml:space="preserve"> </w:t>
      </w:r>
      <w:bookmarkStart w:id="5" w:name="Equipment"/>
      <w:r w:rsidRPr="008F3BE9">
        <w:rPr>
          <w:rFonts w:ascii="Arial" w:hAnsi="Arial" w:cs="Arial"/>
          <w:b/>
          <w:i/>
          <w:u w:val="single"/>
        </w:rPr>
        <w:t>Questionnaire Equipment Use tab</w:t>
      </w:r>
      <w:r w:rsidRPr="008F3BE9">
        <w:rPr>
          <w:rFonts w:ascii="Arial" w:hAnsi="Arial" w:cs="Arial"/>
        </w:rPr>
        <w:t xml:space="preserve"> </w:t>
      </w:r>
      <w:bookmarkEnd w:id="5"/>
      <w:r w:rsidRPr="008F3BE9">
        <w:rPr>
          <w:rFonts w:ascii="Arial" w:hAnsi="Arial" w:cs="Arial"/>
        </w:rPr>
        <w:t xml:space="preserve">– all capital </w:t>
      </w:r>
      <w:r w:rsidR="003720F7">
        <w:rPr>
          <w:rFonts w:ascii="Arial" w:hAnsi="Arial" w:cs="Arial"/>
        </w:rPr>
        <w:t>assets</w:t>
      </w:r>
      <w:r w:rsidR="003720F7" w:rsidRPr="008F3BE9">
        <w:rPr>
          <w:rFonts w:ascii="Arial" w:hAnsi="Arial" w:cs="Arial"/>
        </w:rPr>
        <w:t xml:space="preserve"> </w:t>
      </w:r>
      <w:r w:rsidRPr="008F3BE9">
        <w:rPr>
          <w:rFonts w:ascii="Arial" w:hAnsi="Arial" w:cs="Arial"/>
        </w:rPr>
        <w:t xml:space="preserve">used by the service center should be reported on this tab and the depreciation needs to be allocated to the </w:t>
      </w:r>
      <w:r w:rsidR="004F74FD" w:rsidRPr="008F3BE9">
        <w:rPr>
          <w:rFonts w:ascii="Arial" w:hAnsi="Arial" w:cs="Arial"/>
        </w:rPr>
        <w:t>appropriate</w:t>
      </w:r>
      <w:r w:rsidRPr="008F3BE9">
        <w:rPr>
          <w:rFonts w:ascii="Arial" w:hAnsi="Arial" w:cs="Arial"/>
        </w:rPr>
        <w:t xml:space="preserve"> rate.</w:t>
      </w:r>
    </w:p>
    <w:p w14:paraId="5EFC6C7C" w14:textId="77777777" w:rsidR="008F3BE9" w:rsidRDefault="008F3BE9">
      <w:pPr>
        <w:rPr>
          <w:rFonts w:ascii="Arial" w:hAnsi="Arial" w:cs="Arial"/>
        </w:rPr>
      </w:pPr>
      <w:r w:rsidRPr="008F3BE9">
        <w:rPr>
          <w:noProof/>
        </w:rPr>
        <w:drawing>
          <wp:inline distT="0" distB="0" distL="0" distR="0" wp14:anchorId="2DD98E59" wp14:editId="0E36AB93">
            <wp:extent cx="5943600" cy="17034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1703491"/>
                    </a:xfrm>
                    <a:prstGeom prst="rect">
                      <a:avLst/>
                    </a:prstGeom>
                    <a:noFill/>
                    <a:ln>
                      <a:noFill/>
                    </a:ln>
                  </pic:spPr>
                </pic:pic>
              </a:graphicData>
            </a:graphic>
          </wp:inline>
        </w:drawing>
      </w:r>
    </w:p>
    <w:p w14:paraId="14DAAA70" w14:textId="77777777" w:rsidR="008F3BE9" w:rsidRDefault="008F3BE9">
      <w:pPr>
        <w:rPr>
          <w:rFonts w:ascii="Arial" w:hAnsi="Arial" w:cs="Arial"/>
          <w:sz w:val="32"/>
          <w:szCs w:val="32"/>
        </w:rPr>
      </w:pPr>
    </w:p>
    <w:p w14:paraId="23C958EA" w14:textId="77777777" w:rsidR="008F3BE9" w:rsidRDefault="008F3BE9">
      <w:pPr>
        <w:rPr>
          <w:rFonts w:ascii="Arial" w:hAnsi="Arial" w:cs="Arial"/>
          <w:sz w:val="32"/>
          <w:szCs w:val="32"/>
        </w:rPr>
      </w:pPr>
    </w:p>
    <w:p w14:paraId="7E64D4C2" w14:textId="77777777" w:rsidR="008F3BE9" w:rsidRDefault="008F3BE9">
      <w:pPr>
        <w:rPr>
          <w:rFonts w:ascii="Arial" w:hAnsi="Arial" w:cs="Arial"/>
          <w:sz w:val="32"/>
          <w:szCs w:val="32"/>
        </w:rPr>
      </w:pPr>
    </w:p>
    <w:p w14:paraId="7D4308D0" w14:textId="77777777" w:rsidR="008F3BE9" w:rsidRDefault="008F3BE9">
      <w:pPr>
        <w:rPr>
          <w:rFonts w:ascii="Arial" w:hAnsi="Arial" w:cs="Arial"/>
          <w:sz w:val="32"/>
          <w:szCs w:val="32"/>
        </w:rPr>
      </w:pPr>
    </w:p>
    <w:p w14:paraId="0FB61AF6" w14:textId="77777777" w:rsidR="008F3BE9" w:rsidRDefault="008F3BE9">
      <w:pPr>
        <w:rPr>
          <w:rFonts w:ascii="Arial" w:hAnsi="Arial" w:cs="Arial"/>
          <w:sz w:val="32"/>
          <w:szCs w:val="32"/>
        </w:rPr>
      </w:pPr>
      <w:r w:rsidRPr="008F3BE9">
        <w:rPr>
          <w:rFonts w:ascii="Arial" w:hAnsi="Arial" w:cs="Arial"/>
        </w:rPr>
        <w:t>6</w:t>
      </w:r>
      <w:r>
        <w:rPr>
          <w:rFonts w:ascii="Arial" w:hAnsi="Arial" w:cs="Arial"/>
          <w:sz w:val="32"/>
          <w:szCs w:val="32"/>
        </w:rPr>
        <w:t xml:space="preserve">. </w:t>
      </w:r>
      <w:r w:rsidRPr="008F3BE9">
        <w:rPr>
          <w:rFonts w:ascii="Arial" w:hAnsi="Arial" w:cs="Arial"/>
          <w:b/>
          <w:i/>
          <w:u w:val="single"/>
        </w:rPr>
        <w:t>Questionnaire Other Direct &amp; Indirect Cost tab</w:t>
      </w:r>
      <w:r w:rsidRPr="008F3BE9">
        <w:rPr>
          <w:rFonts w:ascii="Arial" w:hAnsi="Arial" w:cs="Arial"/>
        </w:rPr>
        <w:t xml:space="preserve"> – all non-</w:t>
      </w:r>
      <w:r w:rsidR="004F74FD" w:rsidRPr="008F3BE9">
        <w:rPr>
          <w:rFonts w:ascii="Arial" w:hAnsi="Arial" w:cs="Arial"/>
        </w:rPr>
        <w:t>material</w:t>
      </w:r>
      <w:r w:rsidRPr="008F3BE9">
        <w:rPr>
          <w:rFonts w:ascii="Arial" w:hAnsi="Arial" w:cs="Arial"/>
        </w:rPr>
        <w:t xml:space="preserve"> direct </w:t>
      </w:r>
      <w:r w:rsidR="004F74FD" w:rsidRPr="008F3BE9">
        <w:rPr>
          <w:rFonts w:ascii="Arial" w:hAnsi="Arial" w:cs="Arial"/>
        </w:rPr>
        <w:t>costs that</w:t>
      </w:r>
      <w:r w:rsidRPr="008F3BE9">
        <w:rPr>
          <w:rFonts w:ascii="Arial" w:hAnsi="Arial" w:cs="Arial"/>
        </w:rPr>
        <w:t xml:space="preserve"> can be directly </w:t>
      </w:r>
      <w:r w:rsidR="004F74FD" w:rsidRPr="008F3BE9">
        <w:rPr>
          <w:rFonts w:ascii="Arial" w:hAnsi="Arial" w:cs="Arial"/>
        </w:rPr>
        <w:t>attributable</w:t>
      </w:r>
      <w:r w:rsidRPr="008F3BE9">
        <w:rPr>
          <w:rFonts w:ascii="Arial" w:hAnsi="Arial" w:cs="Arial"/>
        </w:rPr>
        <w:t xml:space="preserve"> to a billable service are allocated to the appropriate service and all indirect costs are recorded and allocated to appropriate rates.</w:t>
      </w:r>
    </w:p>
    <w:p w14:paraId="58350B89" w14:textId="77777777" w:rsidR="008F3BE9" w:rsidRDefault="008F3BE9">
      <w:pPr>
        <w:rPr>
          <w:rFonts w:ascii="Arial" w:hAnsi="Arial" w:cs="Arial"/>
          <w:sz w:val="32"/>
          <w:szCs w:val="32"/>
        </w:rPr>
      </w:pPr>
      <w:r w:rsidRPr="008F3BE9">
        <w:rPr>
          <w:noProof/>
        </w:rPr>
        <w:drawing>
          <wp:inline distT="0" distB="0" distL="0" distR="0" wp14:anchorId="6260E591" wp14:editId="3A53CA3C">
            <wp:extent cx="5943600" cy="7579878"/>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7579878"/>
                    </a:xfrm>
                    <a:prstGeom prst="rect">
                      <a:avLst/>
                    </a:prstGeom>
                    <a:noFill/>
                    <a:ln>
                      <a:noFill/>
                    </a:ln>
                  </pic:spPr>
                </pic:pic>
              </a:graphicData>
            </a:graphic>
          </wp:inline>
        </w:drawing>
      </w:r>
    </w:p>
    <w:p w14:paraId="06085B25" w14:textId="77777777" w:rsidR="008F3BE9" w:rsidRDefault="008F3BE9">
      <w:pPr>
        <w:rPr>
          <w:rFonts w:ascii="Arial" w:hAnsi="Arial" w:cs="Arial"/>
          <w:sz w:val="32"/>
          <w:szCs w:val="32"/>
        </w:rPr>
      </w:pPr>
    </w:p>
    <w:p w14:paraId="099D3BCA" w14:textId="77777777" w:rsidR="008F3BE9" w:rsidRDefault="004F74FD">
      <w:pPr>
        <w:rPr>
          <w:rFonts w:ascii="Arial" w:hAnsi="Arial" w:cs="Arial"/>
        </w:rPr>
      </w:pPr>
      <w:r>
        <w:rPr>
          <w:rFonts w:ascii="Arial" w:hAnsi="Arial" w:cs="Arial"/>
        </w:rPr>
        <w:t>7</w:t>
      </w:r>
      <w:r w:rsidR="008F3BE9">
        <w:rPr>
          <w:rFonts w:ascii="Arial" w:hAnsi="Arial" w:cs="Arial"/>
          <w:sz w:val="32"/>
          <w:szCs w:val="32"/>
        </w:rPr>
        <w:t xml:space="preserve">. </w:t>
      </w:r>
      <w:bookmarkStart w:id="6" w:name="surplus"/>
      <w:r w:rsidR="008F3BE9" w:rsidRPr="008F3BE9">
        <w:rPr>
          <w:rFonts w:ascii="Arial" w:hAnsi="Arial" w:cs="Arial"/>
          <w:b/>
          <w:i/>
          <w:u w:val="single"/>
        </w:rPr>
        <w:t xml:space="preserve">Questionnaire Surplus-Deficit </w:t>
      </w:r>
      <w:r w:rsidRPr="008F3BE9">
        <w:rPr>
          <w:rFonts w:ascii="Arial" w:hAnsi="Arial" w:cs="Arial"/>
          <w:b/>
          <w:i/>
          <w:u w:val="single"/>
        </w:rPr>
        <w:t>Calculation</w:t>
      </w:r>
      <w:r w:rsidR="008F3BE9" w:rsidRPr="008F3BE9">
        <w:rPr>
          <w:rFonts w:ascii="Arial" w:hAnsi="Arial" w:cs="Arial"/>
          <w:b/>
          <w:i/>
          <w:u w:val="single"/>
        </w:rPr>
        <w:t xml:space="preserve"> tab</w:t>
      </w:r>
      <w:r w:rsidR="008F3BE9" w:rsidRPr="008F3BE9">
        <w:rPr>
          <w:rFonts w:ascii="Arial" w:hAnsi="Arial" w:cs="Arial"/>
        </w:rPr>
        <w:t xml:space="preserve"> </w:t>
      </w:r>
      <w:bookmarkEnd w:id="6"/>
      <w:r w:rsidR="008F3BE9" w:rsidRPr="008F3BE9">
        <w:rPr>
          <w:rFonts w:ascii="Arial" w:hAnsi="Arial" w:cs="Arial"/>
        </w:rPr>
        <w:t>– the surplus or deficit that must be used allocated to the rates are recorded on this tab, along with any projected surplus from external users.</w:t>
      </w:r>
    </w:p>
    <w:p w14:paraId="700B6156" w14:textId="77777777" w:rsidR="008F3BE9" w:rsidRDefault="008F3BE9">
      <w:pPr>
        <w:rPr>
          <w:rFonts w:ascii="Arial" w:hAnsi="Arial" w:cs="Arial"/>
          <w:sz w:val="32"/>
          <w:szCs w:val="32"/>
        </w:rPr>
      </w:pPr>
      <w:r w:rsidRPr="008F3BE9">
        <w:rPr>
          <w:noProof/>
        </w:rPr>
        <w:drawing>
          <wp:inline distT="0" distB="0" distL="0" distR="0" wp14:anchorId="3B82427A" wp14:editId="0F3D24A1">
            <wp:extent cx="5943600" cy="7575074"/>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7575074"/>
                    </a:xfrm>
                    <a:prstGeom prst="rect">
                      <a:avLst/>
                    </a:prstGeom>
                    <a:noFill/>
                    <a:ln>
                      <a:noFill/>
                    </a:ln>
                  </pic:spPr>
                </pic:pic>
              </a:graphicData>
            </a:graphic>
          </wp:inline>
        </w:drawing>
      </w:r>
    </w:p>
    <w:p w14:paraId="7FA21FD7" w14:textId="77777777" w:rsidR="004F74FD" w:rsidRDefault="004F74FD">
      <w:pPr>
        <w:rPr>
          <w:rFonts w:ascii="Arial" w:hAnsi="Arial" w:cs="Arial"/>
          <w:sz w:val="32"/>
          <w:szCs w:val="32"/>
        </w:rPr>
      </w:pPr>
    </w:p>
    <w:p w14:paraId="09AC8833" w14:textId="77777777" w:rsidR="004F74FD" w:rsidRDefault="004F74FD">
      <w:pPr>
        <w:rPr>
          <w:rFonts w:ascii="Arial" w:hAnsi="Arial" w:cs="Arial"/>
        </w:rPr>
      </w:pPr>
      <w:r w:rsidRPr="004F74FD">
        <w:rPr>
          <w:rFonts w:ascii="Arial" w:hAnsi="Arial" w:cs="Arial"/>
        </w:rPr>
        <w:t xml:space="preserve">8. </w:t>
      </w:r>
      <w:bookmarkStart w:id="7" w:name="Subsidy"/>
      <w:r w:rsidRPr="004F74FD">
        <w:rPr>
          <w:rFonts w:ascii="Arial" w:hAnsi="Arial" w:cs="Arial"/>
          <w:b/>
          <w:i/>
          <w:u w:val="single"/>
        </w:rPr>
        <w:t>Questionnaire Subsidy tab</w:t>
      </w:r>
      <w:r>
        <w:rPr>
          <w:rFonts w:ascii="Arial" w:hAnsi="Arial" w:cs="Arial"/>
          <w:sz w:val="32"/>
          <w:szCs w:val="32"/>
        </w:rPr>
        <w:t xml:space="preserve"> </w:t>
      </w:r>
      <w:bookmarkEnd w:id="7"/>
      <w:r>
        <w:rPr>
          <w:rFonts w:ascii="Arial" w:hAnsi="Arial" w:cs="Arial"/>
          <w:sz w:val="32"/>
          <w:szCs w:val="32"/>
        </w:rPr>
        <w:t xml:space="preserve">– </w:t>
      </w:r>
      <w:r w:rsidRPr="004F74FD">
        <w:rPr>
          <w:rFonts w:ascii="Arial" w:hAnsi="Arial" w:cs="Arial"/>
        </w:rPr>
        <w:t>Subsidies are recorded and allocated to the appropriate rates on this tab.</w:t>
      </w:r>
    </w:p>
    <w:p w14:paraId="3AF1C134" w14:textId="77777777" w:rsidR="004F74FD" w:rsidRPr="00583D9D" w:rsidRDefault="004F74FD">
      <w:pPr>
        <w:rPr>
          <w:rFonts w:ascii="Arial" w:hAnsi="Arial" w:cs="Arial"/>
          <w:sz w:val="32"/>
          <w:szCs w:val="32"/>
        </w:rPr>
      </w:pPr>
      <w:r w:rsidRPr="004F74FD">
        <w:rPr>
          <w:noProof/>
        </w:rPr>
        <w:drawing>
          <wp:inline distT="0" distB="0" distL="0" distR="0" wp14:anchorId="37B2F3F4" wp14:editId="6745ABB5">
            <wp:extent cx="5943600" cy="37590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759032"/>
                    </a:xfrm>
                    <a:prstGeom prst="rect">
                      <a:avLst/>
                    </a:prstGeom>
                    <a:noFill/>
                    <a:ln>
                      <a:noFill/>
                    </a:ln>
                  </pic:spPr>
                </pic:pic>
              </a:graphicData>
            </a:graphic>
          </wp:inline>
        </w:drawing>
      </w:r>
    </w:p>
    <w:sectPr w:rsidR="004F74FD" w:rsidRPr="00583D9D" w:rsidSect="00357425">
      <w:footerReference w:type="default" r:id="rId34"/>
      <w:pgSz w:w="12240" w:h="15840"/>
      <w:pgMar w:top="1080" w:right="1440" w:bottom="720" w:left="1440" w:header="720" w:footer="144"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1E9B3" w16cid:durableId="209956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FFBF6" w14:textId="77777777" w:rsidR="0057600E" w:rsidRDefault="0057600E" w:rsidP="007C4E74">
      <w:pPr>
        <w:spacing w:after="0" w:line="240" w:lineRule="auto"/>
      </w:pPr>
      <w:r>
        <w:separator/>
      </w:r>
    </w:p>
  </w:endnote>
  <w:endnote w:type="continuationSeparator" w:id="0">
    <w:p w14:paraId="5312DEE4" w14:textId="77777777" w:rsidR="0057600E" w:rsidRDefault="0057600E" w:rsidP="007C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137964"/>
      <w:docPartObj>
        <w:docPartGallery w:val="Page Numbers (Bottom of Page)"/>
        <w:docPartUnique/>
      </w:docPartObj>
    </w:sdtPr>
    <w:sdtEndPr>
      <w:rPr>
        <w:color w:val="7F7F7F" w:themeColor="background1" w:themeShade="7F"/>
        <w:spacing w:val="60"/>
      </w:rPr>
    </w:sdtEndPr>
    <w:sdtContent>
      <w:p w14:paraId="7D7D1398" w14:textId="114CB3F6" w:rsidR="00D30E0B" w:rsidRDefault="00D30E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62C79" w:rsidRPr="00162C79">
          <w:rPr>
            <w:b/>
            <w:bCs/>
            <w:noProof/>
          </w:rPr>
          <w:t>20</w:t>
        </w:r>
        <w:r>
          <w:rPr>
            <w:b/>
            <w:bCs/>
            <w:noProof/>
          </w:rPr>
          <w:fldChar w:fldCharType="end"/>
        </w:r>
        <w:r>
          <w:rPr>
            <w:b/>
            <w:bCs/>
          </w:rPr>
          <w:t xml:space="preserve"> | </w:t>
        </w:r>
        <w:r>
          <w:rPr>
            <w:color w:val="7F7F7F" w:themeColor="background1" w:themeShade="7F"/>
            <w:spacing w:val="60"/>
          </w:rPr>
          <w:t>Page</w:t>
        </w:r>
      </w:p>
    </w:sdtContent>
  </w:sdt>
  <w:p w14:paraId="4265B04B" w14:textId="77777777" w:rsidR="00D30E0B" w:rsidRDefault="00D30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ACF12" w14:textId="77777777" w:rsidR="0057600E" w:rsidRDefault="0057600E" w:rsidP="007C4E74">
      <w:pPr>
        <w:spacing w:after="0" w:line="240" w:lineRule="auto"/>
      </w:pPr>
      <w:r>
        <w:separator/>
      </w:r>
    </w:p>
  </w:footnote>
  <w:footnote w:type="continuationSeparator" w:id="0">
    <w:p w14:paraId="4C22C21B" w14:textId="77777777" w:rsidR="0057600E" w:rsidRDefault="0057600E" w:rsidP="007C4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C02"/>
    <w:multiLevelType w:val="hybridMultilevel"/>
    <w:tmpl w:val="7AE656F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5CD2"/>
    <w:multiLevelType w:val="hybridMultilevel"/>
    <w:tmpl w:val="4EF20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0E81"/>
    <w:multiLevelType w:val="hybridMultilevel"/>
    <w:tmpl w:val="173C9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96D2F"/>
    <w:multiLevelType w:val="hybridMultilevel"/>
    <w:tmpl w:val="FEA0C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66EB1"/>
    <w:multiLevelType w:val="hybridMultilevel"/>
    <w:tmpl w:val="7D967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A6147"/>
    <w:multiLevelType w:val="hybridMultilevel"/>
    <w:tmpl w:val="600C3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E34708"/>
    <w:multiLevelType w:val="hybridMultilevel"/>
    <w:tmpl w:val="8E42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F5FD9"/>
    <w:multiLevelType w:val="hybridMultilevel"/>
    <w:tmpl w:val="C27E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416D8"/>
    <w:multiLevelType w:val="hybridMultilevel"/>
    <w:tmpl w:val="3D6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14B63"/>
    <w:multiLevelType w:val="hybridMultilevel"/>
    <w:tmpl w:val="C0CE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61896"/>
    <w:multiLevelType w:val="hybridMultilevel"/>
    <w:tmpl w:val="C6564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A4185"/>
    <w:multiLevelType w:val="hybridMultilevel"/>
    <w:tmpl w:val="BD1C87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F74AE"/>
    <w:multiLevelType w:val="hybridMultilevel"/>
    <w:tmpl w:val="25EAE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E4588"/>
    <w:multiLevelType w:val="hybridMultilevel"/>
    <w:tmpl w:val="6E760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C0E55"/>
    <w:multiLevelType w:val="hybridMultilevel"/>
    <w:tmpl w:val="E690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3796B"/>
    <w:multiLevelType w:val="hybridMultilevel"/>
    <w:tmpl w:val="87D0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C3FC2"/>
    <w:multiLevelType w:val="hybridMultilevel"/>
    <w:tmpl w:val="6B0AE7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C718A0"/>
    <w:multiLevelType w:val="hybridMultilevel"/>
    <w:tmpl w:val="2E5E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0"/>
  </w:num>
  <w:num w:numId="4">
    <w:abstractNumId w:val="6"/>
  </w:num>
  <w:num w:numId="5">
    <w:abstractNumId w:val="5"/>
  </w:num>
  <w:num w:numId="6">
    <w:abstractNumId w:val="16"/>
  </w:num>
  <w:num w:numId="7">
    <w:abstractNumId w:val="9"/>
  </w:num>
  <w:num w:numId="8">
    <w:abstractNumId w:val="14"/>
  </w:num>
  <w:num w:numId="9">
    <w:abstractNumId w:val="11"/>
  </w:num>
  <w:num w:numId="10">
    <w:abstractNumId w:val="12"/>
  </w:num>
  <w:num w:numId="11">
    <w:abstractNumId w:val="8"/>
  </w:num>
  <w:num w:numId="12">
    <w:abstractNumId w:val="2"/>
  </w:num>
  <w:num w:numId="13">
    <w:abstractNumId w:val="1"/>
  </w:num>
  <w:num w:numId="14">
    <w:abstractNumId w:val="3"/>
  </w:num>
  <w:num w:numId="15">
    <w:abstractNumId w:val="4"/>
  </w:num>
  <w:num w:numId="16">
    <w:abstractNumId w:val="1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E8"/>
    <w:rsid w:val="00013D14"/>
    <w:rsid w:val="00031BBC"/>
    <w:rsid w:val="0004073C"/>
    <w:rsid w:val="00081370"/>
    <w:rsid w:val="0009203D"/>
    <w:rsid w:val="00096987"/>
    <w:rsid w:val="000B1EBB"/>
    <w:rsid w:val="000B376F"/>
    <w:rsid w:val="000E08D4"/>
    <w:rsid w:val="000F7242"/>
    <w:rsid w:val="00102472"/>
    <w:rsid w:val="001421B0"/>
    <w:rsid w:val="00155AE8"/>
    <w:rsid w:val="00162C79"/>
    <w:rsid w:val="0017779E"/>
    <w:rsid w:val="001A11D1"/>
    <w:rsid w:val="001A2112"/>
    <w:rsid w:val="001B267D"/>
    <w:rsid w:val="001D13F1"/>
    <w:rsid w:val="001D435C"/>
    <w:rsid w:val="001E4609"/>
    <w:rsid w:val="001F3420"/>
    <w:rsid w:val="002178D3"/>
    <w:rsid w:val="00225C73"/>
    <w:rsid w:val="002C0E55"/>
    <w:rsid w:val="002E240E"/>
    <w:rsid w:val="002E6A7D"/>
    <w:rsid w:val="00301D34"/>
    <w:rsid w:val="00304ACE"/>
    <w:rsid w:val="00304FDB"/>
    <w:rsid w:val="003060A9"/>
    <w:rsid w:val="00316128"/>
    <w:rsid w:val="003246FD"/>
    <w:rsid w:val="00357425"/>
    <w:rsid w:val="003720F7"/>
    <w:rsid w:val="00390A00"/>
    <w:rsid w:val="003F5BA7"/>
    <w:rsid w:val="00433BB5"/>
    <w:rsid w:val="0044095F"/>
    <w:rsid w:val="00443D6D"/>
    <w:rsid w:val="004619DD"/>
    <w:rsid w:val="00484D76"/>
    <w:rsid w:val="004B4E39"/>
    <w:rsid w:val="004B5ABD"/>
    <w:rsid w:val="004F74FD"/>
    <w:rsid w:val="00571E7C"/>
    <w:rsid w:val="0057600E"/>
    <w:rsid w:val="00582754"/>
    <w:rsid w:val="00583D9D"/>
    <w:rsid w:val="005B2065"/>
    <w:rsid w:val="005B5B32"/>
    <w:rsid w:val="005C394E"/>
    <w:rsid w:val="005C536C"/>
    <w:rsid w:val="00601927"/>
    <w:rsid w:val="006030D6"/>
    <w:rsid w:val="0064202D"/>
    <w:rsid w:val="00665AC5"/>
    <w:rsid w:val="00682AA1"/>
    <w:rsid w:val="00696969"/>
    <w:rsid w:val="006B4F19"/>
    <w:rsid w:val="006D1C4B"/>
    <w:rsid w:val="00727EB0"/>
    <w:rsid w:val="007367A3"/>
    <w:rsid w:val="007509EA"/>
    <w:rsid w:val="00790391"/>
    <w:rsid w:val="007A6CB9"/>
    <w:rsid w:val="007C4E74"/>
    <w:rsid w:val="007D0030"/>
    <w:rsid w:val="007D7FD3"/>
    <w:rsid w:val="007E1B0F"/>
    <w:rsid w:val="007F6D78"/>
    <w:rsid w:val="008615D2"/>
    <w:rsid w:val="008715AD"/>
    <w:rsid w:val="00893673"/>
    <w:rsid w:val="008A71FD"/>
    <w:rsid w:val="008F3BE9"/>
    <w:rsid w:val="008F6CF8"/>
    <w:rsid w:val="008F7458"/>
    <w:rsid w:val="00903008"/>
    <w:rsid w:val="009229F7"/>
    <w:rsid w:val="009924C0"/>
    <w:rsid w:val="00996994"/>
    <w:rsid w:val="009A3F41"/>
    <w:rsid w:val="009F73E3"/>
    <w:rsid w:val="00A06CF8"/>
    <w:rsid w:val="00A12858"/>
    <w:rsid w:val="00A313D5"/>
    <w:rsid w:val="00A33F3C"/>
    <w:rsid w:val="00A4319A"/>
    <w:rsid w:val="00A50C97"/>
    <w:rsid w:val="00A736A7"/>
    <w:rsid w:val="00A74673"/>
    <w:rsid w:val="00A82F29"/>
    <w:rsid w:val="00A921F3"/>
    <w:rsid w:val="00AB3893"/>
    <w:rsid w:val="00B14F71"/>
    <w:rsid w:val="00BA52EF"/>
    <w:rsid w:val="00BB664A"/>
    <w:rsid w:val="00BC3833"/>
    <w:rsid w:val="00BD1FCA"/>
    <w:rsid w:val="00BF64C8"/>
    <w:rsid w:val="00BF6F7E"/>
    <w:rsid w:val="00C2507B"/>
    <w:rsid w:val="00C314B6"/>
    <w:rsid w:val="00C34D57"/>
    <w:rsid w:val="00C84083"/>
    <w:rsid w:val="00C9066E"/>
    <w:rsid w:val="00C92CF0"/>
    <w:rsid w:val="00CA0181"/>
    <w:rsid w:val="00D17CEA"/>
    <w:rsid w:val="00D30E0B"/>
    <w:rsid w:val="00D65EF6"/>
    <w:rsid w:val="00D97A57"/>
    <w:rsid w:val="00DD0F09"/>
    <w:rsid w:val="00E05BB1"/>
    <w:rsid w:val="00E407E8"/>
    <w:rsid w:val="00E51869"/>
    <w:rsid w:val="00E54FBA"/>
    <w:rsid w:val="00E63A33"/>
    <w:rsid w:val="00E73EE7"/>
    <w:rsid w:val="00EA5D42"/>
    <w:rsid w:val="00EB0D0F"/>
    <w:rsid w:val="00F2020D"/>
    <w:rsid w:val="00F2544E"/>
    <w:rsid w:val="00F3374C"/>
    <w:rsid w:val="00F35B7F"/>
    <w:rsid w:val="00F74B2A"/>
    <w:rsid w:val="00F96D2C"/>
    <w:rsid w:val="00FA622B"/>
    <w:rsid w:val="00FB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C7075F"/>
  <w15:chartTrackingRefBased/>
  <w15:docId w15:val="{C626AAEB-3BC6-4635-A7DE-3E8AC915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E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40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40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906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07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07E8"/>
    <w:rPr>
      <w:rFonts w:ascii="Consolas" w:eastAsia="Calibri" w:hAnsi="Consolas" w:cs="Times New Roman"/>
      <w:sz w:val="21"/>
      <w:szCs w:val="21"/>
    </w:rPr>
  </w:style>
  <w:style w:type="character" w:styleId="Hyperlink">
    <w:name w:val="Hyperlink"/>
    <w:uiPriority w:val="99"/>
    <w:unhideWhenUsed/>
    <w:rsid w:val="00E407E8"/>
    <w:rPr>
      <w:color w:val="0000FF"/>
      <w:u w:val="single"/>
    </w:rPr>
  </w:style>
  <w:style w:type="character" w:customStyle="1" w:styleId="Heading1Char">
    <w:name w:val="Heading 1 Char"/>
    <w:basedOn w:val="DefaultParagraphFont"/>
    <w:link w:val="Heading1"/>
    <w:uiPriority w:val="9"/>
    <w:rsid w:val="00E407E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407E8"/>
    <w:pPr>
      <w:spacing w:line="259" w:lineRule="auto"/>
      <w:outlineLvl w:val="9"/>
    </w:pPr>
    <w:rPr>
      <w:rFonts w:ascii="Calibri Light" w:eastAsia="Times New Roman" w:hAnsi="Calibri Light" w:cs="Times New Roman"/>
      <w:color w:val="2E74B5"/>
    </w:rPr>
  </w:style>
  <w:style w:type="paragraph" w:styleId="TOC2">
    <w:name w:val="toc 2"/>
    <w:basedOn w:val="Normal"/>
    <w:next w:val="Normal"/>
    <w:autoRedefine/>
    <w:uiPriority w:val="39"/>
    <w:unhideWhenUsed/>
    <w:rsid w:val="00E407E8"/>
    <w:pPr>
      <w:spacing w:after="100" w:line="259" w:lineRule="auto"/>
      <w:ind w:left="220"/>
    </w:pPr>
    <w:rPr>
      <w:rFonts w:eastAsia="Times New Roman"/>
    </w:rPr>
  </w:style>
  <w:style w:type="paragraph" w:styleId="TOC1">
    <w:name w:val="toc 1"/>
    <w:basedOn w:val="Normal"/>
    <w:next w:val="Normal"/>
    <w:autoRedefine/>
    <w:uiPriority w:val="39"/>
    <w:unhideWhenUsed/>
    <w:rsid w:val="00A12858"/>
    <w:pPr>
      <w:spacing w:after="100" w:line="259" w:lineRule="auto"/>
    </w:pPr>
    <w:rPr>
      <w:rFonts w:eastAsia="Times New Roman"/>
      <w:b/>
    </w:rPr>
  </w:style>
  <w:style w:type="paragraph" w:styleId="TOC3">
    <w:name w:val="toc 3"/>
    <w:basedOn w:val="Normal"/>
    <w:next w:val="Normal"/>
    <w:autoRedefine/>
    <w:uiPriority w:val="39"/>
    <w:unhideWhenUsed/>
    <w:rsid w:val="00E407E8"/>
    <w:pPr>
      <w:spacing w:after="100" w:line="259" w:lineRule="auto"/>
      <w:ind w:left="440"/>
    </w:pPr>
    <w:rPr>
      <w:rFonts w:eastAsia="Times New Roman"/>
    </w:rPr>
  </w:style>
  <w:style w:type="paragraph" w:styleId="ListParagraph">
    <w:name w:val="List Paragraph"/>
    <w:basedOn w:val="Normal"/>
    <w:uiPriority w:val="34"/>
    <w:qFormat/>
    <w:rsid w:val="00E407E8"/>
    <w:pPr>
      <w:ind w:left="720"/>
      <w:contextualSpacing/>
    </w:pPr>
  </w:style>
  <w:style w:type="character" w:styleId="FollowedHyperlink">
    <w:name w:val="FollowedHyperlink"/>
    <w:basedOn w:val="DefaultParagraphFont"/>
    <w:uiPriority w:val="99"/>
    <w:semiHidden/>
    <w:unhideWhenUsed/>
    <w:rsid w:val="00E407E8"/>
    <w:rPr>
      <w:color w:val="954F72" w:themeColor="followedHyperlink"/>
      <w:u w:val="single"/>
    </w:rPr>
  </w:style>
  <w:style w:type="character" w:customStyle="1" w:styleId="Heading2Char">
    <w:name w:val="Heading 2 Char"/>
    <w:basedOn w:val="DefaultParagraphFont"/>
    <w:link w:val="Heading2"/>
    <w:uiPriority w:val="9"/>
    <w:semiHidden/>
    <w:rsid w:val="00E407E8"/>
    <w:rPr>
      <w:rFonts w:asciiTheme="majorHAnsi" w:eastAsiaTheme="majorEastAsia" w:hAnsiTheme="majorHAnsi" w:cstheme="majorBidi"/>
      <w:color w:val="2E74B5" w:themeColor="accent1" w:themeShade="BF"/>
      <w:sz w:val="26"/>
      <w:szCs w:val="26"/>
    </w:rPr>
  </w:style>
  <w:style w:type="character" w:customStyle="1" w:styleId="hits1">
    <w:name w:val="hits1"/>
    <w:rsid w:val="00E407E8"/>
    <w:rPr>
      <w:color w:val="FF0000"/>
    </w:rPr>
  </w:style>
  <w:style w:type="paragraph" w:styleId="Header">
    <w:name w:val="header"/>
    <w:basedOn w:val="Normal"/>
    <w:link w:val="HeaderChar"/>
    <w:uiPriority w:val="99"/>
    <w:unhideWhenUsed/>
    <w:rsid w:val="007C4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74"/>
    <w:rPr>
      <w:rFonts w:ascii="Calibri" w:eastAsia="Calibri" w:hAnsi="Calibri" w:cs="Times New Roman"/>
    </w:rPr>
  </w:style>
  <w:style w:type="paragraph" w:styleId="Footer">
    <w:name w:val="footer"/>
    <w:basedOn w:val="Normal"/>
    <w:link w:val="FooterChar"/>
    <w:uiPriority w:val="99"/>
    <w:unhideWhenUsed/>
    <w:rsid w:val="007C4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74"/>
    <w:rPr>
      <w:rFonts w:ascii="Calibri" w:eastAsia="Calibri" w:hAnsi="Calibri" w:cs="Times New Roman"/>
    </w:rPr>
  </w:style>
  <w:style w:type="paragraph" w:styleId="BalloonText">
    <w:name w:val="Balloon Text"/>
    <w:basedOn w:val="Normal"/>
    <w:link w:val="BalloonTextChar"/>
    <w:uiPriority w:val="99"/>
    <w:semiHidden/>
    <w:unhideWhenUsed/>
    <w:rsid w:val="00903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00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30E0B"/>
    <w:rPr>
      <w:sz w:val="16"/>
      <w:szCs w:val="16"/>
    </w:rPr>
  </w:style>
  <w:style w:type="paragraph" w:styleId="CommentText">
    <w:name w:val="annotation text"/>
    <w:basedOn w:val="Normal"/>
    <w:link w:val="CommentTextChar"/>
    <w:uiPriority w:val="99"/>
    <w:semiHidden/>
    <w:unhideWhenUsed/>
    <w:rsid w:val="00D30E0B"/>
    <w:pPr>
      <w:spacing w:line="240" w:lineRule="auto"/>
    </w:pPr>
    <w:rPr>
      <w:sz w:val="20"/>
      <w:szCs w:val="20"/>
    </w:rPr>
  </w:style>
  <w:style w:type="character" w:customStyle="1" w:styleId="CommentTextChar">
    <w:name w:val="Comment Text Char"/>
    <w:basedOn w:val="DefaultParagraphFont"/>
    <w:link w:val="CommentText"/>
    <w:uiPriority w:val="99"/>
    <w:semiHidden/>
    <w:rsid w:val="00D30E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0E0B"/>
    <w:rPr>
      <w:b/>
      <w:bCs/>
    </w:rPr>
  </w:style>
  <w:style w:type="character" w:customStyle="1" w:styleId="CommentSubjectChar">
    <w:name w:val="Comment Subject Char"/>
    <w:basedOn w:val="CommentTextChar"/>
    <w:link w:val="CommentSubject"/>
    <w:uiPriority w:val="99"/>
    <w:semiHidden/>
    <w:rsid w:val="00D30E0B"/>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C906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213">
      <w:bodyDiv w:val="1"/>
      <w:marLeft w:val="0"/>
      <w:marRight w:val="0"/>
      <w:marTop w:val="0"/>
      <w:marBottom w:val="0"/>
      <w:divBdr>
        <w:top w:val="none" w:sz="0" w:space="0" w:color="auto"/>
        <w:left w:val="none" w:sz="0" w:space="0" w:color="auto"/>
        <w:bottom w:val="none" w:sz="0" w:space="0" w:color="auto"/>
        <w:right w:val="none" w:sz="0" w:space="0" w:color="auto"/>
      </w:divBdr>
    </w:div>
    <w:div w:id="1263760904">
      <w:bodyDiv w:val="1"/>
      <w:marLeft w:val="0"/>
      <w:marRight w:val="0"/>
      <w:marTop w:val="0"/>
      <w:marBottom w:val="0"/>
      <w:divBdr>
        <w:top w:val="none" w:sz="0" w:space="0" w:color="auto"/>
        <w:left w:val="none" w:sz="0" w:space="0" w:color="auto"/>
        <w:bottom w:val="none" w:sz="0" w:space="0" w:color="auto"/>
        <w:right w:val="none" w:sz="0" w:space="0" w:color="auto"/>
      </w:divBdr>
    </w:div>
    <w:div w:id="1527017668">
      <w:bodyDiv w:val="1"/>
      <w:marLeft w:val="0"/>
      <w:marRight w:val="0"/>
      <w:marTop w:val="0"/>
      <w:marBottom w:val="0"/>
      <w:divBdr>
        <w:top w:val="none" w:sz="0" w:space="0" w:color="auto"/>
        <w:left w:val="none" w:sz="0" w:space="0" w:color="auto"/>
        <w:bottom w:val="none" w:sz="0" w:space="0" w:color="auto"/>
        <w:right w:val="none" w:sz="0" w:space="0" w:color="auto"/>
      </w:divBdr>
    </w:div>
    <w:div w:id="1590458980">
      <w:bodyDiv w:val="1"/>
      <w:marLeft w:val="0"/>
      <w:marRight w:val="0"/>
      <w:marTop w:val="0"/>
      <w:marBottom w:val="0"/>
      <w:divBdr>
        <w:top w:val="none" w:sz="0" w:space="0" w:color="auto"/>
        <w:left w:val="none" w:sz="0" w:space="0" w:color="auto"/>
        <w:bottom w:val="none" w:sz="0" w:space="0" w:color="auto"/>
        <w:right w:val="none" w:sz="0" w:space="0" w:color="auto"/>
      </w:divBdr>
    </w:div>
    <w:div w:id="1769349201">
      <w:bodyDiv w:val="1"/>
      <w:marLeft w:val="0"/>
      <w:marRight w:val="0"/>
      <w:marTop w:val="0"/>
      <w:marBottom w:val="0"/>
      <w:divBdr>
        <w:top w:val="none" w:sz="0" w:space="0" w:color="auto"/>
        <w:left w:val="none" w:sz="0" w:space="0" w:color="auto"/>
        <w:bottom w:val="none" w:sz="0" w:space="0" w:color="auto"/>
        <w:right w:val="none" w:sz="0" w:space="0" w:color="auto"/>
      </w:divBdr>
      <w:divsChild>
        <w:div w:id="1663315710">
          <w:marLeft w:val="0"/>
          <w:marRight w:val="0"/>
          <w:marTop w:val="0"/>
          <w:marBottom w:val="0"/>
          <w:divBdr>
            <w:top w:val="none" w:sz="0" w:space="0" w:color="auto"/>
            <w:left w:val="none" w:sz="0" w:space="0" w:color="auto"/>
            <w:bottom w:val="none" w:sz="0" w:space="0" w:color="auto"/>
            <w:right w:val="none" w:sz="0" w:space="0" w:color="auto"/>
          </w:divBdr>
          <w:divsChild>
            <w:div w:id="500001638">
              <w:marLeft w:val="0"/>
              <w:marRight w:val="0"/>
              <w:marTop w:val="0"/>
              <w:marBottom w:val="0"/>
              <w:divBdr>
                <w:top w:val="none" w:sz="0" w:space="0" w:color="auto"/>
                <w:left w:val="none" w:sz="0" w:space="0" w:color="auto"/>
                <w:bottom w:val="none" w:sz="0" w:space="0" w:color="auto"/>
                <w:right w:val="none" w:sz="0" w:space="0" w:color="auto"/>
              </w:divBdr>
              <w:divsChild>
                <w:div w:id="375395507">
                  <w:marLeft w:val="0"/>
                  <w:marRight w:val="0"/>
                  <w:marTop w:val="0"/>
                  <w:marBottom w:val="0"/>
                  <w:divBdr>
                    <w:top w:val="none" w:sz="0" w:space="0" w:color="auto"/>
                    <w:left w:val="none" w:sz="0" w:space="0" w:color="auto"/>
                    <w:bottom w:val="none" w:sz="0" w:space="0" w:color="auto"/>
                    <w:right w:val="none" w:sz="0" w:space="0" w:color="auto"/>
                  </w:divBdr>
                  <w:divsChild>
                    <w:div w:id="294406263">
                      <w:marLeft w:val="0"/>
                      <w:marRight w:val="0"/>
                      <w:marTop w:val="0"/>
                      <w:marBottom w:val="0"/>
                      <w:divBdr>
                        <w:top w:val="none" w:sz="0" w:space="0" w:color="auto"/>
                        <w:left w:val="none" w:sz="0" w:space="0" w:color="auto"/>
                        <w:bottom w:val="none" w:sz="0" w:space="0" w:color="auto"/>
                        <w:right w:val="none" w:sz="0" w:space="0" w:color="auto"/>
                      </w:divBdr>
                      <w:divsChild>
                        <w:div w:id="1460536406">
                          <w:marLeft w:val="0"/>
                          <w:marRight w:val="0"/>
                          <w:marTop w:val="0"/>
                          <w:marBottom w:val="0"/>
                          <w:divBdr>
                            <w:top w:val="none" w:sz="0" w:space="0" w:color="auto"/>
                            <w:left w:val="none" w:sz="0" w:space="0" w:color="auto"/>
                            <w:bottom w:val="none" w:sz="0" w:space="0" w:color="auto"/>
                            <w:right w:val="none" w:sz="0" w:space="0" w:color="auto"/>
                          </w:divBdr>
                          <w:divsChild>
                            <w:div w:id="833766237">
                              <w:marLeft w:val="0"/>
                              <w:marRight w:val="0"/>
                              <w:marTop w:val="0"/>
                              <w:marBottom w:val="0"/>
                              <w:divBdr>
                                <w:top w:val="none" w:sz="0" w:space="0" w:color="auto"/>
                                <w:left w:val="none" w:sz="0" w:space="0" w:color="auto"/>
                                <w:bottom w:val="none" w:sz="0" w:space="0" w:color="auto"/>
                                <w:right w:val="none" w:sz="0" w:space="0" w:color="auto"/>
                              </w:divBdr>
                              <w:divsChild>
                                <w:div w:id="1082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6633">
                          <w:marLeft w:val="0"/>
                          <w:marRight w:val="0"/>
                          <w:marTop w:val="0"/>
                          <w:marBottom w:val="0"/>
                          <w:divBdr>
                            <w:top w:val="none" w:sz="0" w:space="0" w:color="auto"/>
                            <w:left w:val="none" w:sz="0" w:space="0" w:color="auto"/>
                            <w:bottom w:val="none" w:sz="0" w:space="0" w:color="auto"/>
                            <w:right w:val="none" w:sz="0" w:space="0" w:color="auto"/>
                          </w:divBdr>
                          <w:divsChild>
                            <w:div w:id="1291935664">
                              <w:marLeft w:val="0"/>
                              <w:marRight w:val="0"/>
                              <w:marTop w:val="0"/>
                              <w:marBottom w:val="0"/>
                              <w:divBdr>
                                <w:top w:val="none" w:sz="0" w:space="0" w:color="auto"/>
                                <w:left w:val="none" w:sz="0" w:space="0" w:color="auto"/>
                                <w:bottom w:val="none" w:sz="0" w:space="0" w:color="auto"/>
                                <w:right w:val="none" w:sz="0" w:space="0" w:color="auto"/>
                              </w:divBdr>
                              <w:divsChild>
                                <w:div w:id="14132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7454">
                          <w:marLeft w:val="0"/>
                          <w:marRight w:val="0"/>
                          <w:marTop w:val="0"/>
                          <w:marBottom w:val="0"/>
                          <w:divBdr>
                            <w:top w:val="none" w:sz="0" w:space="0" w:color="auto"/>
                            <w:left w:val="none" w:sz="0" w:space="0" w:color="auto"/>
                            <w:bottom w:val="none" w:sz="0" w:space="0" w:color="auto"/>
                            <w:right w:val="none" w:sz="0" w:space="0" w:color="auto"/>
                          </w:divBdr>
                          <w:divsChild>
                            <w:div w:id="2130396268">
                              <w:marLeft w:val="0"/>
                              <w:marRight w:val="0"/>
                              <w:marTop w:val="0"/>
                              <w:marBottom w:val="0"/>
                              <w:divBdr>
                                <w:top w:val="none" w:sz="0" w:space="0" w:color="auto"/>
                                <w:left w:val="none" w:sz="0" w:space="0" w:color="auto"/>
                                <w:bottom w:val="none" w:sz="0" w:space="0" w:color="auto"/>
                                <w:right w:val="none" w:sz="0" w:space="0" w:color="auto"/>
                              </w:divBdr>
                              <w:divsChild>
                                <w:div w:id="14861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9444">
                          <w:marLeft w:val="0"/>
                          <w:marRight w:val="0"/>
                          <w:marTop w:val="0"/>
                          <w:marBottom w:val="0"/>
                          <w:divBdr>
                            <w:top w:val="none" w:sz="0" w:space="0" w:color="auto"/>
                            <w:left w:val="none" w:sz="0" w:space="0" w:color="auto"/>
                            <w:bottom w:val="none" w:sz="0" w:space="0" w:color="auto"/>
                            <w:right w:val="none" w:sz="0" w:space="0" w:color="auto"/>
                          </w:divBdr>
                          <w:divsChild>
                            <w:div w:id="2036805486">
                              <w:marLeft w:val="0"/>
                              <w:marRight w:val="0"/>
                              <w:marTop w:val="0"/>
                              <w:marBottom w:val="0"/>
                              <w:divBdr>
                                <w:top w:val="none" w:sz="0" w:space="0" w:color="auto"/>
                                <w:left w:val="none" w:sz="0" w:space="0" w:color="auto"/>
                                <w:bottom w:val="none" w:sz="0" w:space="0" w:color="auto"/>
                                <w:right w:val="none" w:sz="0" w:space="0" w:color="auto"/>
                              </w:divBdr>
                              <w:divsChild>
                                <w:div w:id="17442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5565">
                          <w:marLeft w:val="0"/>
                          <w:marRight w:val="0"/>
                          <w:marTop w:val="0"/>
                          <w:marBottom w:val="0"/>
                          <w:divBdr>
                            <w:top w:val="none" w:sz="0" w:space="0" w:color="auto"/>
                            <w:left w:val="none" w:sz="0" w:space="0" w:color="auto"/>
                            <w:bottom w:val="none" w:sz="0" w:space="0" w:color="auto"/>
                            <w:right w:val="none" w:sz="0" w:space="0" w:color="auto"/>
                          </w:divBdr>
                          <w:divsChild>
                            <w:div w:id="56366007">
                              <w:marLeft w:val="0"/>
                              <w:marRight w:val="0"/>
                              <w:marTop w:val="0"/>
                              <w:marBottom w:val="0"/>
                              <w:divBdr>
                                <w:top w:val="none" w:sz="0" w:space="0" w:color="auto"/>
                                <w:left w:val="none" w:sz="0" w:space="0" w:color="auto"/>
                                <w:bottom w:val="none" w:sz="0" w:space="0" w:color="auto"/>
                                <w:right w:val="none" w:sz="0" w:space="0" w:color="auto"/>
                              </w:divBdr>
                              <w:divsChild>
                                <w:div w:id="20948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2994">
                          <w:marLeft w:val="0"/>
                          <w:marRight w:val="0"/>
                          <w:marTop w:val="0"/>
                          <w:marBottom w:val="0"/>
                          <w:divBdr>
                            <w:top w:val="none" w:sz="0" w:space="0" w:color="auto"/>
                            <w:left w:val="none" w:sz="0" w:space="0" w:color="auto"/>
                            <w:bottom w:val="none" w:sz="0" w:space="0" w:color="auto"/>
                            <w:right w:val="none" w:sz="0" w:space="0" w:color="auto"/>
                          </w:divBdr>
                          <w:divsChild>
                            <w:div w:id="1148208757">
                              <w:marLeft w:val="0"/>
                              <w:marRight w:val="0"/>
                              <w:marTop w:val="0"/>
                              <w:marBottom w:val="0"/>
                              <w:divBdr>
                                <w:top w:val="none" w:sz="0" w:space="0" w:color="auto"/>
                                <w:left w:val="none" w:sz="0" w:space="0" w:color="auto"/>
                                <w:bottom w:val="none" w:sz="0" w:space="0" w:color="auto"/>
                                <w:right w:val="none" w:sz="0" w:space="0" w:color="auto"/>
                              </w:divBdr>
                              <w:divsChild>
                                <w:div w:id="10302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5132">
                          <w:marLeft w:val="0"/>
                          <w:marRight w:val="0"/>
                          <w:marTop w:val="0"/>
                          <w:marBottom w:val="0"/>
                          <w:divBdr>
                            <w:top w:val="none" w:sz="0" w:space="0" w:color="auto"/>
                            <w:left w:val="none" w:sz="0" w:space="0" w:color="auto"/>
                            <w:bottom w:val="none" w:sz="0" w:space="0" w:color="auto"/>
                            <w:right w:val="none" w:sz="0" w:space="0" w:color="auto"/>
                          </w:divBdr>
                          <w:divsChild>
                            <w:div w:id="545024154">
                              <w:marLeft w:val="0"/>
                              <w:marRight w:val="0"/>
                              <w:marTop w:val="0"/>
                              <w:marBottom w:val="0"/>
                              <w:divBdr>
                                <w:top w:val="none" w:sz="0" w:space="0" w:color="auto"/>
                                <w:left w:val="none" w:sz="0" w:space="0" w:color="auto"/>
                                <w:bottom w:val="none" w:sz="0" w:space="0" w:color="auto"/>
                                <w:right w:val="none" w:sz="0" w:space="0" w:color="auto"/>
                              </w:divBdr>
                              <w:divsChild>
                                <w:div w:id="18577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804">
                          <w:marLeft w:val="0"/>
                          <w:marRight w:val="0"/>
                          <w:marTop w:val="0"/>
                          <w:marBottom w:val="0"/>
                          <w:divBdr>
                            <w:top w:val="none" w:sz="0" w:space="0" w:color="auto"/>
                            <w:left w:val="none" w:sz="0" w:space="0" w:color="auto"/>
                            <w:bottom w:val="none" w:sz="0" w:space="0" w:color="auto"/>
                            <w:right w:val="none" w:sz="0" w:space="0" w:color="auto"/>
                          </w:divBdr>
                          <w:divsChild>
                            <w:div w:id="1955599806">
                              <w:marLeft w:val="0"/>
                              <w:marRight w:val="0"/>
                              <w:marTop w:val="0"/>
                              <w:marBottom w:val="0"/>
                              <w:divBdr>
                                <w:top w:val="none" w:sz="0" w:space="0" w:color="auto"/>
                                <w:left w:val="none" w:sz="0" w:space="0" w:color="auto"/>
                                <w:bottom w:val="none" w:sz="0" w:space="0" w:color="auto"/>
                                <w:right w:val="none" w:sz="0" w:space="0" w:color="auto"/>
                              </w:divBdr>
                              <w:divsChild>
                                <w:div w:id="20988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5037">
                          <w:marLeft w:val="0"/>
                          <w:marRight w:val="0"/>
                          <w:marTop w:val="0"/>
                          <w:marBottom w:val="0"/>
                          <w:divBdr>
                            <w:top w:val="none" w:sz="0" w:space="0" w:color="auto"/>
                            <w:left w:val="none" w:sz="0" w:space="0" w:color="auto"/>
                            <w:bottom w:val="none" w:sz="0" w:space="0" w:color="auto"/>
                            <w:right w:val="none" w:sz="0" w:space="0" w:color="auto"/>
                          </w:divBdr>
                          <w:divsChild>
                            <w:div w:id="1570112105">
                              <w:marLeft w:val="0"/>
                              <w:marRight w:val="0"/>
                              <w:marTop w:val="0"/>
                              <w:marBottom w:val="0"/>
                              <w:divBdr>
                                <w:top w:val="none" w:sz="0" w:space="0" w:color="auto"/>
                                <w:left w:val="none" w:sz="0" w:space="0" w:color="auto"/>
                                <w:bottom w:val="none" w:sz="0" w:space="0" w:color="auto"/>
                                <w:right w:val="none" w:sz="0" w:space="0" w:color="auto"/>
                              </w:divBdr>
                              <w:divsChild>
                                <w:div w:id="20544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ecfr.gov/cgi-bin/text-idx?node=2:1.1.2.2.1" TargetMode="External"/><Relationship Id="rId26" Type="http://schemas.openxmlformats.org/officeDocument/2006/relationships/image" Target="media/image2.emf"/><Relationship Id="rId21" Type="http://schemas.openxmlformats.org/officeDocument/2006/relationships/hyperlink" Target="https://www.uc.edu/content/dam/uc/af/financialpolicies/Docs/capitalassets_pol.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cfr.gov/cgi-bin/text-idx?node=2:1.1.2.2.1" TargetMode="External"/><Relationship Id="rId17" Type="http://schemas.openxmlformats.org/officeDocument/2006/relationships/hyperlink" Target="https://www.uc.edu/content/dam/uc/af/financialpolicies/Docs/travelexp_pol.pdf" TargetMode="External"/><Relationship Id="rId25" Type="http://schemas.openxmlformats.org/officeDocument/2006/relationships/hyperlink" Target="https://www.uc.edu/af/controller/resources/BRCFA.html" TargetMode="External"/><Relationship Id="rId33"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www.uc.edu/af/controller/resources/BRCForms.html" TargetMode="External"/><Relationship Id="rId20" Type="http://schemas.openxmlformats.org/officeDocument/2006/relationships/hyperlink" Target="https://www.uc.edu/af/policies.html"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edu/content/dam/uc/af/financialpolicies/Docs/allowability_pol.pdf" TargetMode="External"/><Relationship Id="rId24" Type="http://schemas.openxmlformats.org/officeDocument/2006/relationships/hyperlink" Target="https://www.uc.edu/content/dam/uc/af/financialpolicies/Docs/ARInvoicingAndCashHandling_pol.pdf" TargetMode="External"/><Relationship Id="rId32" Type="http://schemas.openxmlformats.org/officeDocument/2006/relationships/image" Target="media/image8.emf"/><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ecfr.gov/cgi-bin/text-idx?node=2:1.1.2.2.1" TargetMode="External"/><Relationship Id="rId23" Type="http://schemas.openxmlformats.org/officeDocument/2006/relationships/hyperlink" Target="https://www.uc.edu/af/treasurer/Resources.html" TargetMode="External"/><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hyperlink" Target="https://www.uc.edu/content/dam/uc/af/financialpolicies/Docs/sales-service-pol.pdf" TargetMode="External"/><Relationship Id="rId19" Type="http://schemas.openxmlformats.org/officeDocument/2006/relationships/hyperlink" Target="https://www.ecfr.gov/cgi-bin/text-idx?node=2:1.1.2.2.1" TargetMode="Externa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www.ecfr.gov/cgi-bin/text-idx?node=2:1.1.2.2.1" TargetMode="External"/><Relationship Id="rId14" Type="http://schemas.openxmlformats.org/officeDocument/2006/relationships/hyperlink" Target="http://researchhow2.uc.edu/docs/default-source/default-document-library/recharge-council-members.pdf?sfvrsn=4ed657b4_0" TargetMode="External"/><Relationship Id="rId22" Type="http://schemas.openxmlformats.org/officeDocument/2006/relationships/hyperlink" Target="https://www.ecfr.gov/cgi-bin/text-idx?node=2:1.1.2.2.1"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fontTable" Target="fontTable.xml"/><Relationship Id="rId8" Type="http://schemas.openxmlformats.org/officeDocument/2006/relationships/hyperlink" Target="https://www.uc.edu/content/dam/uc/af/financialpolicies/Docs/servctrs_pol.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F218F-2C32-443A-AAF7-B493FEC7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4992</Words>
  <Characters>28457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Deckard, Lisa (deckarlm)</dc:creator>
  <cp:keywords/>
  <dc:description/>
  <cp:lastModifiedBy>Deckard, Lisa (deckarlm)</cp:lastModifiedBy>
  <cp:revision>4</cp:revision>
  <cp:lastPrinted>2019-05-17T17:25:00Z</cp:lastPrinted>
  <dcterms:created xsi:type="dcterms:W3CDTF">2019-07-15T19:41:00Z</dcterms:created>
  <dcterms:modified xsi:type="dcterms:W3CDTF">2019-07-16T15:35:00Z</dcterms:modified>
</cp:coreProperties>
</file>